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FF8E3" w14:textId="6A2859A7" w:rsidR="0020130E" w:rsidRPr="000D0967" w:rsidRDefault="00B62443" w:rsidP="00802BB2">
      <w:pPr>
        <w:shd w:val="clear" w:color="auto" w:fill="DEEAF6" w:themeFill="accent5" w:themeFillTint="33"/>
        <w:spacing w:before="240"/>
        <w:jc w:val="center"/>
        <w:rPr>
          <w:b/>
          <w:bCs/>
          <w:sz w:val="36"/>
          <w:szCs w:val="32"/>
        </w:rPr>
      </w:pPr>
      <w:r w:rsidRPr="000D0967">
        <w:rPr>
          <w:b/>
          <w:bCs/>
          <w:sz w:val="36"/>
          <w:szCs w:val="32"/>
        </w:rPr>
        <w:t>Acceso a</w:t>
      </w:r>
      <w:r w:rsidR="00497A9B" w:rsidRPr="000D0967">
        <w:rPr>
          <w:b/>
          <w:bCs/>
          <w:sz w:val="36"/>
          <w:szCs w:val="32"/>
        </w:rPr>
        <w:t xml:space="preserve"> la </w:t>
      </w:r>
      <w:r w:rsidR="002A6C54" w:rsidRPr="000D0967">
        <w:rPr>
          <w:b/>
          <w:bCs/>
          <w:sz w:val="36"/>
          <w:szCs w:val="32"/>
        </w:rPr>
        <w:t>J</w:t>
      </w:r>
      <w:r w:rsidR="00497A9B" w:rsidRPr="000D0967">
        <w:rPr>
          <w:b/>
          <w:bCs/>
          <w:sz w:val="36"/>
          <w:szCs w:val="32"/>
        </w:rPr>
        <w:t>usticia: Más cerca de las P</w:t>
      </w:r>
      <w:r w:rsidRPr="000D0967">
        <w:rPr>
          <w:b/>
          <w:bCs/>
          <w:sz w:val="36"/>
          <w:szCs w:val="32"/>
        </w:rPr>
        <w:t xml:space="preserve">ersonas con </w:t>
      </w:r>
      <w:r w:rsidR="00497A9B" w:rsidRPr="000D0967">
        <w:rPr>
          <w:b/>
          <w:bCs/>
          <w:sz w:val="36"/>
          <w:szCs w:val="32"/>
        </w:rPr>
        <w:t>D</w:t>
      </w:r>
      <w:r w:rsidRPr="000D0967">
        <w:rPr>
          <w:b/>
          <w:bCs/>
          <w:sz w:val="36"/>
          <w:szCs w:val="32"/>
        </w:rPr>
        <w:t>iscapacidad</w:t>
      </w:r>
    </w:p>
    <w:p w14:paraId="098DAE38" w14:textId="023162A0" w:rsidR="007D0778" w:rsidRPr="000D0967" w:rsidRDefault="007D0778" w:rsidP="007D0778">
      <w:pPr>
        <w:spacing w:before="240"/>
        <w:jc w:val="center"/>
        <w:rPr>
          <w:b/>
          <w:bCs/>
          <w:sz w:val="24"/>
          <w:szCs w:val="24"/>
        </w:rPr>
      </w:pPr>
      <w:r w:rsidRPr="000D0967">
        <w:rPr>
          <w:b/>
          <w:bCs/>
          <w:sz w:val="24"/>
          <w:szCs w:val="24"/>
        </w:rPr>
        <w:t>Oficina Enviada Especial del Secretario General de Naciones Unidas sobre Discapacidad y Accesibilidad</w:t>
      </w:r>
    </w:p>
    <w:p w14:paraId="32B42A35" w14:textId="504887C7" w:rsidR="000129B4" w:rsidRPr="000D0967" w:rsidRDefault="005E4DE6" w:rsidP="004F22BD">
      <w:pPr>
        <w:spacing w:before="240"/>
        <w:jc w:val="center"/>
        <w:rPr>
          <w:b/>
          <w:bCs/>
          <w:sz w:val="28"/>
          <w:szCs w:val="28"/>
        </w:rPr>
      </w:pPr>
      <w:r w:rsidRPr="000D0967">
        <w:rPr>
          <w:b/>
          <w:noProof/>
          <w:lang w:eastAsia="es-CL"/>
        </w:rPr>
        <w:drawing>
          <wp:inline distT="0" distB="0" distL="0" distR="0" wp14:anchorId="7A3CA693" wp14:editId="29193891">
            <wp:extent cx="1302618" cy="40594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8625" cy="442094"/>
                    </a:xfrm>
                    <a:prstGeom prst="rect">
                      <a:avLst/>
                    </a:prstGeom>
                    <a:noFill/>
                    <a:ln>
                      <a:noFill/>
                    </a:ln>
                  </pic:spPr>
                </pic:pic>
              </a:graphicData>
            </a:graphic>
          </wp:inline>
        </w:drawing>
      </w:r>
    </w:p>
    <w:p w14:paraId="33A2B310" w14:textId="43891730" w:rsidR="000129B4" w:rsidRPr="00802BB2" w:rsidRDefault="007963A2" w:rsidP="00DB367C">
      <w:pPr>
        <w:pStyle w:val="Prrafodelista"/>
        <w:numPr>
          <w:ilvl w:val="0"/>
          <w:numId w:val="16"/>
        </w:numPr>
        <w:shd w:val="clear" w:color="auto" w:fill="DEEAF6" w:themeFill="accent5" w:themeFillTint="33"/>
        <w:spacing w:before="240"/>
        <w:contextualSpacing w:val="0"/>
        <w:jc w:val="both"/>
        <w:rPr>
          <w:b/>
        </w:rPr>
      </w:pPr>
      <w:r w:rsidRPr="00802BB2">
        <w:rPr>
          <w:b/>
        </w:rPr>
        <w:t>Fundame</w:t>
      </w:r>
      <w:r w:rsidR="00560E42" w:rsidRPr="00802BB2">
        <w:rPr>
          <w:b/>
        </w:rPr>
        <w:t>n</w:t>
      </w:r>
      <w:r w:rsidR="002F3AFC" w:rsidRPr="00802BB2">
        <w:rPr>
          <w:b/>
        </w:rPr>
        <w:t>tación</w:t>
      </w:r>
      <w:r w:rsidRPr="00802BB2">
        <w:rPr>
          <w:b/>
        </w:rPr>
        <w:t>:</w:t>
      </w:r>
    </w:p>
    <w:p w14:paraId="4833E442" w14:textId="7D4B7243" w:rsidR="000129B4" w:rsidRPr="00802BB2" w:rsidRDefault="00D57F2E" w:rsidP="004F22BD">
      <w:pPr>
        <w:spacing w:before="240" w:line="276" w:lineRule="auto"/>
        <w:jc w:val="both"/>
      </w:pPr>
      <w:r w:rsidRPr="00802BB2">
        <w:rPr>
          <w:noProof/>
          <w:lang w:eastAsia="es-CL"/>
        </w:rPr>
        <w:drawing>
          <wp:anchor distT="0" distB="0" distL="114300" distR="114300" simplePos="0" relativeHeight="251658240" behindDoc="0" locked="0" layoutInCell="1" allowOverlap="1" wp14:anchorId="462F8214" wp14:editId="4C3DC09D">
            <wp:simplePos x="0" y="0"/>
            <wp:positionH relativeFrom="margin">
              <wp:align>left</wp:align>
            </wp:positionH>
            <wp:positionV relativeFrom="margin">
              <wp:posOffset>2914064</wp:posOffset>
            </wp:positionV>
            <wp:extent cx="1828800" cy="761365"/>
            <wp:effectExtent l="0" t="0" r="0" b="635"/>
            <wp:wrapSquare wrapText="bothSides"/>
            <wp:docPr id="1" name="Imagen 1" descr="Día Nacional de la Convención sobre los Derechos de las Personas con  Discapacidad - Fundación Síndrome 5P- o Maullido de 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ía Nacional de la Convención sobre los Derechos de las Personas con  Discapacidad - Fundación Síndrome 5P- o Maullido de Gato"/>
                    <pic:cNvPicPr>
                      <a:picLocks noChangeAspect="1" noChangeArrowheads="1"/>
                    </pic:cNvPicPr>
                  </pic:nvPicPr>
                  <pic:blipFill rotWithShape="1">
                    <a:blip r:embed="rId9">
                      <a:extLst>
                        <a:ext uri="{28A0092B-C50C-407E-A947-70E740481C1C}">
                          <a14:useLocalDpi xmlns:a14="http://schemas.microsoft.com/office/drawing/2010/main" val="0"/>
                        </a:ext>
                      </a:extLst>
                    </a:blip>
                    <a:srcRect l="13825" t="25213" r="14463" b="25740"/>
                    <a:stretch/>
                  </pic:blipFill>
                  <pic:spPr bwMode="auto">
                    <a:xfrm>
                      <a:off x="0" y="0"/>
                      <a:ext cx="1828800" cy="7613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47FE4" w:rsidRPr="00802BB2">
        <w:t xml:space="preserve">La </w:t>
      </w:r>
      <w:r w:rsidR="00547FE4" w:rsidRPr="00802BB2">
        <w:rPr>
          <w:b/>
        </w:rPr>
        <w:t>Convención sobre los Derechos de las Personas con Discapacidad</w:t>
      </w:r>
      <w:r w:rsidR="00A07AED" w:rsidRPr="00802BB2">
        <w:t xml:space="preserve"> adoptada </w:t>
      </w:r>
      <w:r w:rsidR="00547FE4" w:rsidRPr="00802BB2">
        <w:t xml:space="preserve">por la Asamblea General de Naciones Unidas </w:t>
      </w:r>
      <w:r w:rsidR="00A07AED" w:rsidRPr="00802BB2">
        <w:t xml:space="preserve">el año 2006 </w:t>
      </w:r>
      <w:r w:rsidR="00547FE4" w:rsidRPr="00802BB2">
        <w:t xml:space="preserve">(en adelante CDPD o la Convención), </w:t>
      </w:r>
      <w:r w:rsidR="00A85732" w:rsidRPr="00802BB2">
        <w:t xml:space="preserve">representa un hito histórico al reconocer el modelo de derechos humanos de las personas con discapacidad, basándose en la promoción y protección de sus derechos humanos y libertades fundamentales, respetando su dignidad inherente, dejando atrás los modelos de beneficencia y médico-asistencialistas. </w:t>
      </w:r>
    </w:p>
    <w:p w14:paraId="59B36163" w14:textId="6833AC26" w:rsidR="00213B6D" w:rsidRPr="00802BB2" w:rsidRDefault="00213B6D" w:rsidP="004F22BD">
      <w:pPr>
        <w:spacing w:before="240" w:line="276" w:lineRule="auto"/>
        <w:jc w:val="both"/>
      </w:pPr>
      <w:r w:rsidRPr="00802BB2">
        <w:t>El artículo 13 de la CDPD</w:t>
      </w:r>
      <w:r w:rsidR="00957CC1" w:rsidRPr="00802BB2">
        <w:t xml:space="preserve"> </w:t>
      </w:r>
      <w:r w:rsidRPr="00802BB2">
        <w:t xml:space="preserve">prescribe que: </w:t>
      </w:r>
    </w:p>
    <w:p w14:paraId="04CF9AA3" w14:textId="77777777" w:rsidR="00A85732" w:rsidRPr="00802BB2" w:rsidRDefault="00B1278D" w:rsidP="004F22BD">
      <w:pPr>
        <w:spacing w:before="240" w:line="276" w:lineRule="auto"/>
        <w:ind w:firstLine="709"/>
        <w:jc w:val="both"/>
      </w:pPr>
      <w:r w:rsidRPr="00802BB2">
        <w:rPr>
          <w:b/>
        </w:rPr>
        <w:t>1.</w:t>
      </w:r>
      <w:r w:rsidRPr="00802BB2">
        <w:t xml:space="preserve"> Los Estados Partes asegurarán que las personas con discapacidad tengan acceso a la justicia en igualdad de condiciones con las demás, incluso mediante ajustes de procedimiento y adecuados a la edad, para facilitar el desempeño de las funciones efectivas de esas personas como participantes directos e indirectos, incluida la declaración como testigos, en todos los procedimientos judiciales, con inclusión de la etapa de investigación y otras etapas preliminares. </w:t>
      </w:r>
    </w:p>
    <w:p w14:paraId="302476C2" w14:textId="7D24CF6D" w:rsidR="00B1278D" w:rsidRPr="00802BB2" w:rsidRDefault="00B1278D" w:rsidP="004F22BD">
      <w:pPr>
        <w:spacing w:before="240" w:line="276" w:lineRule="auto"/>
        <w:ind w:firstLine="709"/>
        <w:jc w:val="both"/>
      </w:pPr>
      <w:r w:rsidRPr="00802BB2">
        <w:rPr>
          <w:b/>
        </w:rPr>
        <w:t>2.</w:t>
      </w:r>
      <w:r w:rsidRPr="00802BB2">
        <w:t xml:space="preserve"> A fin de asegurar que las personas con discapacidad tengan acceso efectivo a la justicia, los Estados Partes promoverán la capacitación adecuada de los que trabajan en la administración de justicia, incluido el personal policial y penitenciario.</w:t>
      </w:r>
    </w:p>
    <w:p w14:paraId="6E3D0349" w14:textId="0836795E" w:rsidR="000129B4" w:rsidRPr="00802BB2" w:rsidRDefault="00B85B2B" w:rsidP="004F22BD">
      <w:pPr>
        <w:spacing w:before="240"/>
        <w:jc w:val="both"/>
      </w:pPr>
      <w:r w:rsidRPr="00802BB2">
        <w:rPr>
          <w:noProof/>
          <w:lang w:eastAsia="es-CL"/>
        </w:rPr>
        <w:drawing>
          <wp:anchor distT="0" distB="0" distL="114300" distR="114300" simplePos="0" relativeHeight="251659264" behindDoc="0" locked="0" layoutInCell="1" allowOverlap="1" wp14:anchorId="0F60E4F3" wp14:editId="2497402B">
            <wp:simplePos x="0" y="0"/>
            <wp:positionH relativeFrom="margin">
              <wp:posOffset>-7425</wp:posOffset>
            </wp:positionH>
            <wp:positionV relativeFrom="margin">
              <wp:posOffset>7127094</wp:posOffset>
            </wp:positionV>
            <wp:extent cx="1590675" cy="1303655"/>
            <wp:effectExtent l="0" t="0" r="9525" b="0"/>
            <wp:wrapSquare wrapText="bothSides"/>
            <wp:docPr id="4" name="Imagen 4" descr="La construcción de la paz en el marco de la Agenda 2030: el ODS 16 - CEIP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 construcción de la paz en el marco de la Agenda 2030: el ODS 16 - CEIPAZ"/>
                    <pic:cNvPicPr>
                      <a:picLocks noChangeAspect="1" noChangeArrowheads="1"/>
                    </pic:cNvPicPr>
                  </pic:nvPicPr>
                  <pic:blipFill rotWithShape="1">
                    <a:blip r:embed="rId10">
                      <a:extLst>
                        <a:ext uri="{28A0092B-C50C-407E-A947-70E740481C1C}">
                          <a14:useLocalDpi xmlns:a14="http://schemas.microsoft.com/office/drawing/2010/main" val="0"/>
                        </a:ext>
                      </a:extLst>
                    </a:blip>
                    <a:srcRect l="5765" t="4764" r="6147" b="9489"/>
                    <a:stretch/>
                  </pic:blipFill>
                  <pic:spPr bwMode="auto">
                    <a:xfrm>
                      <a:off x="0" y="0"/>
                      <a:ext cx="1590675" cy="13036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129B4" w:rsidRPr="00802BB2">
        <w:t xml:space="preserve"> La </w:t>
      </w:r>
      <w:r w:rsidR="000129B4" w:rsidRPr="00802BB2">
        <w:rPr>
          <w:b/>
        </w:rPr>
        <w:t>Agenda 2030 de Naciones Unidas</w:t>
      </w:r>
      <w:r w:rsidR="000129B4" w:rsidRPr="00802BB2">
        <w:t xml:space="preserve">, en su </w:t>
      </w:r>
      <w:r w:rsidR="00D4158A" w:rsidRPr="00802BB2">
        <w:t>Objetivo de</w:t>
      </w:r>
      <w:r w:rsidR="000129B4" w:rsidRPr="00802BB2">
        <w:t xml:space="preserve"> Desarrollo Sostenible 16 </w:t>
      </w:r>
      <w:r w:rsidR="009902A5" w:rsidRPr="00802BB2">
        <w:t xml:space="preserve">establece </w:t>
      </w:r>
      <w:r w:rsidR="000129B4" w:rsidRPr="00802BB2">
        <w:t>“</w:t>
      </w:r>
      <w:r w:rsidR="000129B4" w:rsidRPr="00802BB2">
        <w:rPr>
          <w:b/>
        </w:rPr>
        <w:t>Promover sociedades justas, pacíficas e inclusivas</w:t>
      </w:r>
      <w:r w:rsidR="000129B4" w:rsidRPr="00802BB2">
        <w:t>”</w:t>
      </w:r>
      <w:r w:rsidR="009902A5" w:rsidRPr="00802BB2">
        <w:t>.</w:t>
      </w:r>
      <w:r w:rsidR="00B1278D" w:rsidRPr="00802BB2">
        <w:t xml:space="preserve"> Se trata de </w:t>
      </w:r>
      <w:r w:rsidR="00957CC1" w:rsidRPr="00802BB2">
        <w:t xml:space="preserve">la promoción de </w:t>
      </w:r>
      <w:r w:rsidR="00B1278D" w:rsidRPr="00802BB2">
        <w:t xml:space="preserve"> sociedades pacíficas e inclusivas para un Desarrollo Sostenible, proveer acceso a la justicia para todos y construir instituciones eficaces, responsables e inclusivas en todos los niveles</w:t>
      </w:r>
      <w:r w:rsidR="002B7160" w:rsidRPr="00802BB2">
        <w:t xml:space="preserve">. </w:t>
      </w:r>
      <w:r w:rsidR="009902A5" w:rsidRPr="00802BB2">
        <w:t xml:space="preserve">En la meta 16.3 </w:t>
      </w:r>
      <w:r w:rsidR="007F3C2B" w:rsidRPr="00802BB2">
        <w:t xml:space="preserve">se </w:t>
      </w:r>
      <w:r w:rsidR="009902A5" w:rsidRPr="00802BB2">
        <w:t>especifica: “Promover el estado de derecho en los planos nacional e internacional y garantizar la igualdad de acceso a la justicia para todos”.</w:t>
      </w:r>
    </w:p>
    <w:p w14:paraId="5FF052EE" w14:textId="54E22470" w:rsidR="002A6C54" w:rsidRPr="00802BB2" w:rsidRDefault="00D04BF5" w:rsidP="004F22BD">
      <w:pPr>
        <w:pStyle w:val="Prrafodelista"/>
        <w:spacing w:before="240"/>
        <w:contextualSpacing w:val="0"/>
        <w:jc w:val="both"/>
        <w:rPr>
          <w:b/>
          <w:bCs/>
        </w:rPr>
      </w:pPr>
      <w:r w:rsidRPr="00802BB2">
        <w:rPr>
          <w:b/>
          <w:bCs/>
        </w:rPr>
        <w:t>El Acceso a la Justicia de las Personas con Discapacidad se inspira en:</w:t>
      </w:r>
    </w:p>
    <w:p w14:paraId="1CAC5D7C" w14:textId="1858AB2A" w:rsidR="004408FD" w:rsidRPr="00802BB2" w:rsidRDefault="00957CC1" w:rsidP="004F22BD">
      <w:pPr>
        <w:pStyle w:val="Prrafodelista"/>
        <w:numPr>
          <w:ilvl w:val="0"/>
          <w:numId w:val="1"/>
        </w:numPr>
        <w:spacing w:before="240"/>
        <w:contextualSpacing w:val="0"/>
        <w:jc w:val="both"/>
      </w:pPr>
      <w:r w:rsidRPr="00802BB2">
        <w:rPr>
          <w:b/>
        </w:rPr>
        <w:lastRenderedPageBreak/>
        <w:t xml:space="preserve">La </w:t>
      </w:r>
      <w:r w:rsidR="003D6C9C" w:rsidRPr="00802BB2">
        <w:rPr>
          <w:b/>
        </w:rPr>
        <w:t>Dignidad Humana</w:t>
      </w:r>
      <w:r w:rsidR="00E6014E" w:rsidRPr="00802BB2">
        <w:rPr>
          <w:b/>
        </w:rPr>
        <w:t>:</w:t>
      </w:r>
      <w:r w:rsidR="00E6014E" w:rsidRPr="00802BB2">
        <w:t xml:space="preserve"> </w:t>
      </w:r>
      <w:r w:rsidR="002D44E2" w:rsidRPr="00802BB2">
        <w:t>Es la c</w:t>
      </w:r>
      <w:r w:rsidR="00E6014E" w:rsidRPr="00802BB2">
        <w:t xml:space="preserve">ualidad propia de la condición humana de la que emanan los derechos fundamentales, </w:t>
      </w:r>
      <w:r w:rsidR="007261A6" w:rsidRPr="00802BB2">
        <w:t xml:space="preserve">que por esta razón son </w:t>
      </w:r>
      <w:r w:rsidR="00E6014E" w:rsidRPr="00802BB2">
        <w:t>inviolables e inalienables</w:t>
      </w:r>
      <w:r w:rsidR="00E6014E" w:rsidRPr="00802BB2">
        <w:rPr>
          <w:vertAlign w:val="superscript"/>
        </w:rPr>
        <w:footnoteReference w:id="1"/>
      </w:r>
      <w:r w:rsidR="00E6014E" w:rsidRPr="00802BB2">
        <w:t>.</w:t>
      </w:r>
    </w:p>
    <w:p w14:paraId="3D0A9653" w14:textId="1A86B555" w:rsidR="0094426C" w:rsidRPr="00802BB2" w:rsidRDefault="00957CC1" w:rsidP="004F22BD">
      <w:pPr>
        <w:pStyle w:val="Prrafodelista"/>
        <w:numPr>
          <w:ilvl w:val="0"/>
          <w:numId w:val="1"/>
        </w:numPr>
        <w:spacing w:before="240"/>
        <w:contextualSpacing w:val="0"/>
        <w:jc w:val="both"/>
      </w:pPr>
      <w:r w:rsidRPr="00802BB2">
        <w:rPr>
          <w:b/>
        </w:rPr>
        <w:t xml:space="preserve">La </w:t>
      </w:r>
      <w:r w:rsidR="003D6C9C" w:rsidRPr="00802BB2">
        <w:rPr>
          <w:b/>
        </w:rPr>
        <w:t xml:space="preserve">Igualdad </w:t>
      </w:r>
      <w:r w:rsidR="00283BF8" w:rsidRPr="00802BB2">
        <w:rPr>
          <w:b/>
        </w:rPr>
        <w:t>y no discriminación</w:t>
      </w:r>
      <w:r w:rsidR="00E6014E" w:rsidRPr="00802BB2">
        <w:t>: Todo</w:t>
      </w:r>
      <w:r w:rsidR="00E6014E" w:rsidRPr="00802BB2">
        <w:rPr>
          <w:b/>
          <w:bCs/>
        </w:rPr>
        <w:t xml:space="preserve"> </w:t>
      </w:r>
      <w:r w:rsidR="00E6014E" w:rsidRPr="00802BB2">
        <w:rPr>
          <w:bCs/>
        </w:rPr>
        <w:t>ser humano debe ser reconocido como un igual ante la ley</w:t>
      </w:r>
      <w:r w:rsidR="00E6014E" w:rsidRPr="00802BB2">
        <w:t> y</w:t>
      </w:r>
      <w:r w:rsidR="00AC7AB1" w:rsidRPr="00802BB2">
        <w:t xml:space="preserve"> </w:t>
      </w:r>
      <w:r w:rsidR="00E6014E" w:rsidRPr="00802BB2">
        <w:t xml:space="preserve">disfrutar de todos </w:t>
      </w:r>
      <w:r w:rsidR="007218C0" w:rsidRPr="00802BB2">
        <w:t>los</w:t>
      </w:r>
      <w:r w:rsidR="00E6014E" w:rsidRPr="00802BB2">
        <w:t xml:space="preserve"> derechos, </w:t>
      </w:r>
      <w:r w:rsidR="00E6014E" w:rsidRPr="00802BB2">
        <w:rPr>
          <w:bCs/>
        </w:rPr>
        <w:t xml:space="preserve">sin discriminación </w:t>
      </w:r>
      <w:r w:rsidR="00283BF8" w:rsidRPr="00802BB2">
        <w:rPr>
          <w:bCs/>
        </w:rPr>
        <w:t>alguna.</w:t>
      </w:r>
      <w:r w:rsidR="00293331" w:rsidRPr="00802BB2">
        <w:rPr>
          <w:rStyle w:val="Refdenotaalpie"/>
          <w:bCs/>
        </w:rPr>
        <w:footnoteReference w:id="2"/>
      </w:r>
      <w:r w:rsidR="00283BF8" w:rsidRPr="00802BB2">
        <w:rPr>
          <w:bCs/>
        </w:rPr>
        <w:t xml:space="preserve"> Está prohibido el trato diferenciado arbitrario o injustificado</w:t>
      </w:r>
      <w:r w:rsidR="00547FE4" w:rsidRPr="00802BB2">
        <w:t>.</w:t>
      </w:r>
      <w:r w:rsidR="00293331" w:rsidRPr="00802BB2">
        <w:rPr>
          <w:rStyle w:val="Refdenotaalpie"/>
        </w:rPr>
        <w:footnoteReference w:id="3"/>
      </w:r>
      <w:r w:rsidR="00547FE4" w:rsidRPr="00802BB2">
        <w:t xml:space="preserve"> </w:t>
      </w:r>
      <w:r w:rsidR="003B5A05" w:rsidRPr="00802BB2">
        <w:t>Discriminación por motivo de discapacidad es cualquier distinción, exclusión o restricción que tenga el propósito o el efecto de obstaculizar o dejar sin efecto el reconocimiento, goce o ejercicio</w:t>
      </w:r>
      <w:r w:rsidR="00661651" w:rsidRPr="00802BB2">
        <w:t xml:space="preserve">, </w:t>
      </w:r>
      <w:r w:rsidR="003B5A05" w:rsidRPr="00802BB2">
        <w:t xml:space="preserve">en igualdad de condiciones, de todos los derechos humanos y libertades fundamentales </w:t>
      </w:r>
      <w:r w:rsidR="00661651" w:rsidRPr="00802BB2">
        <w:t xml:space="preserve">por las personas con discapacidad </w:t>
      </w:r>
      <w:r w:rsidR="003B5A05" w:rsidRPr="00802BB2">
        <w:t xml:space="preserve">en los ámbitos político, económico, social, cultural, civil o de otro tipo. Incluye todas las formas de discriminación, entre ellas, la denegación de </w:t>
      </w:r>
      <w:r w:rsidR="0094426C" w:rsidRPr="00802BB2">
        <w:t>ajustes</w:t>
      </w:r>
      <w:r w:rsidR="00C42106" w:rsidRPr="00802BB2">
        <w:t xml:space="preserve"> razonables</w:t>
      </w:r>
      <w:r w:rsidR="00547FE4" w:rsidRPr="00802BB2">
        <w:rPr>
          <w:rStyle w:val="Refdenotaalpie"/>
        </w:rPr>
        <w:footnoteReference w:id="4"/>
      </w:r>
      <w:r w:rsidR="00661651" w:rsidRPr="00802BB2">
        <w:t>.</w:t>
      </w:r>
      <w:r w:rsidR="00F54338" w:rsidRPr="00802BB2">
        <w:t xml:space="preserve"> </w:t>
      </w:r>
    </w:p>
    <w:p w14:paraId="17190BC1" w14:textId="77777777" w:rsidR="004F35D6" w:rsidRPr="00802BB2" w:rsidRDefault="00F54338" w:rsidP="00F54338">
      <w:pPr>
        <w:pStyle w:val="Prrafodelista"/>
        <w:spacing w:before="240"/>
        <w:contextualSpacing w:val="0"/>
        <w:jc w:val="both"/>
        <w:rPr>
          <w:bCs/>
        </w:rPr>
      </w:pPr>
      <w:r w:rsidRPr="00802BB2">
        <w:rPr>
          <w:bCs/>
        </w:rPr>
        <w:t xml:space="preserve">Se contribuirá al logro de la igualdad sustantiva </w:t>
      </w:r>
      <w:r w:rsidR="00365163" w:rsidRPr="00802BB2">
        <w:rPr>
          <w:bCs/>
        </w:rPr>
        <w:t>con l</w:t>
      </w:r>
      <w:r w:rsidRPr="00802BB2">
        <w:rPr>
          <w:bCs/>
        </w:rPr>
        <w:t>a aplicación</w:t>
      </w:r>
      <w:r w:rsidR="004F35D6" w:rsidRPr="00802BB2">
        <w:rPr>
          <w:bCs/>
        </w:rPr>
        <w:t xml:space="preserve"> del enfoque de género, infancia y envejecimiento en conjunción con </w:t>
      </w:r>
      <w:r w:rsidRPr="00802BB2">
        <w:rPr>
          <w:bCs/>
        </w:rPr>
        <w:t xml:space="preserve">el modelo de derechos humanos de las personas con discapacidad. </w:t>
      </w:r>
    </w:p>
    <w:p w14:paraId="3CE7413D" w14:textId="3C9ABB87" w:rsidR="00F54338" w:rsidRPr="00802BB2" w:rsidRDefault="00365163" w:rsidP="00F54338">
      <w:pPr>
        <w:pStyle w:val="Prrafodelista"/>
        <w:spacing w:before="240"/>
        <w:contextualSpacing w:val="0"/>
        <w:jc w:val="both"/>
        <w:rPr>
          <w:bCs/>
        </w:rPr>
      </w:pPr>
      <w:r w:rsidRPr="00802BB2">
        <w:rPr>
          <w:bCs/>
        </w:rPr>
        <w:t xml:space="preserve">De igual manera, la aplicación del criterio de interseccionalidad entre la discapacidad y otras circunstancias de la persona, como su etnia, su residencia en sectores rurales o nacionalidad, entre otros, contribuirá a alcanzar la igualdad sustantiva, eliminando actos u omisiones discriminatorias. </w:t>
      </w:r>
    </w:p>
    <w:p w14:paraId="5281E86E" w14:textId="618E2933" w:rsidR="0094426C" w:rsidRPr="00802BB2" w:rsidRDefault="00957CC1" w:rsidP="004F22BD">
      <w:pPr>
        <w:pStyle w:val="Prrafodelista"/>
        <w:numPr>
          <w:ilvl w:val="0"/>
          <w:numId w:val="1"/>
        </w:numPr>
        <w:spacing w:before="240"/>
        <w:contextualSpacing w:val="0"/>
        <w:jc w:val="both"/>
      </w:pPr>
      <w:r w:rsidRPr="00802BB2">
        <w:rPr>
          <w:b/>
        </w:rPr>
        <w:t xml:space="preserve">La </w:t>
      </w:r>
      <w:r w:rsidR="003D6C9C" w:rsidRPr="00802BB2">
        <w:rPr>
          <w:b/>
        </w:rPr>
        <w:t>Capacidad Jurídica</w:t>
      </w:r>
      <w:r w:rsidR="004113E6" w:rsidRPr="00802BB2">
        <w:rPr>
          <w:rStyle w:val="Refdenotaalpie"/>
          <w:b/>
        </w:rPr>
        <w:footnoteReference w:id="5"/>
      </w:r>
      <w:r w:rsidR="003C0692" w:rsidRPr="00802BB2">
        <w:t xml:space="preserve">: </w:t>
      </w:r>
      <w:r w:rsidR="000E1315" w:rsidRPr="00802BB2">
        <w:t>E</w:t>
      </w:r>
      <w:r w:rsidR="00870DB2" w:rsidRPr="00802BB2">
        <w:t>s la capacidad de ser titu</w:t>
      </w:r>
      <w:r w:rsidR="007F3C2B" w:rsidRPr="00802BB2">
        <w:t xml:space="preserve">lar de derechos y obligaciones </w:t>
      </w:r>
      <w:r w:rsidR="00870DB2" w:rsidRPr="00802BB2">
        <w:t xml:space="preserve">y de ejercer esos derechos y obligaciones (legitimación para actuar). </w:t>
      </w:r>
      <w:r w:rsidR="004113E6" w:rsidRPr="00802BB2">
        <w:t>Es un a</w:t>
      </w:r>
      <w:r w:rsidR="003C0692" w:rsidRPr="00802BB2">
        <w:t xml:space="preserve">tributo universal inherente a todas las personas en razón de su condición humana y debe mantenerse para las personas con discapacidad en igualdad de condiciones con las demás. </w:t>
      </w:r>
      <w:r w:rsidR="00870DB2" w:rsidRPr="00802BB2">
        <w:t xml:space="preserve">Es la clave para acceder a una participación </w:t>
      </w:r>
      <w:r w:rsidR="00661651" w:rsidRPr="00802BB2">
        <w:t>real y efectiva</w:t>
      </w:r>
      <w:r w:rsidR="00870DB2" w:rsidRPr="00802BB2">
        <w:t xml:space="preserve"> en la sociedad</w:t>
      </w:r>
      <w:r w:rsidR="004113E6" w:rsidRPr="00802BB2">
        <w:t xml:space="preserve">. </w:t>
      </w:r>
      <w:r w:rsidR="003C0692" w:rsidRPr="00802BB2">
        <w:t>La capacidad jurídica es indispensable para el ejercicio de los derechos civiles, políticos, sociales</w:t>
      </w:r>
      <w:r w:rsidR="007F3C2B" w:rsidRPr="00802BB2">
        <w:t>,</w:t>
      </w:r>
      <w:r w:rsidR="003C0692" w:rsidRPr="00802BB2">
        <w:t xml:space="preserve"> </w:t>
      </w:r>
      <w:r w:rsidR="007F3C2B" w:rsidRPr="00802BB2">
        <w:t xml:space="preserve">económicos </w:t>
      </w:r>
      <w:r w:rsidR="003C0692" w:rsidRPr="00802BB2">
        <w:t>y culturales</w:t>
      </w:r>
      <w:r w:rsidR="004113E6" w:rsidRPr="00802BB2">
        <w:t>.</w:t>
      </w:r>
      <w:r w:rsidR="003C0692" w:rsidRPr="00802BB2">
        <w:t xml:space="preserve"> </w:t>
      </w:r>
      <w:r w:rsidR="00661651" w:rsidRPr="00802BB2">
        <w:t xml:space="preserve">Los </w:t>
      </w:r>
      <w:r w:rsidR="003C0692" w:rsidRPr="00802BB2">
        <w:t>apoyo</w:t>
      </w:r>
      <w:r w:rsidR="00661651" w:rsidRPr="00802BB2">
        <w:t>s</w:t>
      </w:r>
      <w:r w:rsidR="003C0692" w:rsidRPr="00802BB2">
        <w:rPr>
          <w:rStyle w:val="Refdenotaalpie"/>
        </w:rPr>
        <w:footnoteReference w:id="6"/>
      </w:r>
      <w:r w:rsidR="003C0692" w:rsidRPr="00802BB2">
        <w:t xml:space="preserve"> en el ejercicio de la capacidad jurídica debe</w:t>
      </w:r>
      <w:r w:rsidR="008B1D7D" w:rsidRPr="00802BB2">
        <w:t>n</w:t>
      </w:r>
      <w:r w:rsidR="003C0692" w:rsidRPr="00802BB2">
        <w:t xml:space="preserve"> respetar los derechos, la voluntad y las </w:t>
      </w:r>
      <w:r w:rsidR="003C0692" w:rsidRPr="00802BB2">
        <w:lastRenderedPageBreak/>
        <w:t>preferencias de las personas con discapacidad y nunca debe</w:t>
      </w:r>
      <w:r w:rsidR="008B1D7D" w:rsidRPr="00802BB2">
        <w:t>n</w:t>
      </w:r>
      <w:r w:rsidR="003C0692" w:rsidRPr="00802BB2">
        <w:t xml:space="preserve"> consistir en decidir por ellas</w:t>
      </w:r>
      <w:r w:rsidR="00175137" w:rsidRPr="00802BB2">
        <w:t>. Se trata del</w:t>
      </w:r>
      <w:r w:rsidR="007E2C86" w:rsidRPr="00802BB2">
        <w:t xml:space="preserve"> </w:t>
      </w:r>
      <w:r w:rsidR="00175137" w:rsidRPr="00802BB2">
        <w:t>m</w:t>
      </w:r>
      <w:r w:rsidR="007E2C86" w:rsidRPr="00802BB2">
        <w:t xml:space="preserve">odelo </w:t>
      </w:r>
      <w:r w:rsidR="00777C84" w:rsidRPr="00802BB2">
        <w:t xml:space="preserve">de voluntad con apoyos </w:t>
      </w:r>
      <w:r w:rsidR="007E2C86" w:rsidRPr="00802BB2">
        <w:t>y salvaguardias</w:t>
      </w:r>
      <w:r w:rsidR="00175137" w:rsidRPr="00802BB2">
        <w:t>.</w:t>
      </w:r>
      <w:r w:rsidR="00777C84" w:rsidRPr="00802BB2">
        <w:rPr>
          <w:rStyle w:val="Refdenotaalpie"/>
        </w:rPr>
        <w:footnoteReference w:id="7"/>
      </w:r>
      <w:r w:rsidR="004F22BD" w:rsidRPr="00802BB2">
        <w:t xml:space="preserve"> </w:t>
      </w:r>
    </w:p>
    <w:p w14:paraId="1F5EEEBB" w14:textId="21600ADE" w:rsidR="0094426C" w:rsidRPr="00802BB2" w:rsidRDefault="00957CC1" w:rsidP="004F22BD">
      <w:pPr>
        <w:pStyle w:val="Prrafodelista"/>
        <w:numPr>
          <w:ilvl w:val="0"/>
          <w:numId w:val="1"/>
        </w:numPr>
        <w:spacing w:before="240"/>
        <w:contextualSpacing w:val="0"/>
        <w:jc w:val="both"/>
      </w:pPr>
      <w:r w:rsidRPr="00802BB2">
        <w:rPr>
          <w:b/>
        </w:rPr>
        <w:t xml:space="preserve">La </w:t>
      </w:r>
      <w:r w:rsidR="003D6C9C" w:rsidRPr="00802BB2">
        <w:rPr>
          <w:b/>
        </w:rPr>
        <w:t>Accesibilida</w:t>
      </w:r>
      <w:r w:rsidR="000E1315" w:rsidRPr="00802BB2">
        <w:rPr>
          <w:b/>
        </w:rPr>
        <w:t xml:space="preserve">d </w:t>
      </w:r>
      <w:r w:rsidRPr="00802BB2">
        <w:rPr>
          <w:b/>
        </w:rPr>
        <w:t>U</w:t>
      </w:r>
      <w:r w:rsidR="000E1315" w:rsidRPr="00802BB2">
        <w:rPr>
          <w:b/>
        </w:rPr>
        <w:t>niversal</w:t>
      </w:r>
      <w:r w:rsidR="00B36E93" w:rsidRPr="00802BB2">
        <w:rPr>
          <w:b/>
        </w:rPr>
        <w:t>:</w:t>
      </w:r>
      <w:r w:rsidR="007E2C86" w:rsidRPr="00802BB2">
        <w:t xml:space="preserve"> </w:t>
      </w:r>
      <w:r w:rsidR="000E1315" w:rsidRPr="00802BB2">
        <w:t xml:space="preserve">Es el conjunto de condiciones que deben cumplir los espacios físicos, el transporte, la información y las comunicaciones, la tecnología, los bienes y servicios, los procesos y procedimientos de manera que puedan ser utilizados por todas las personas de la forma más segura, cómoda y eficiente posible. </w:t>
      </w:r>
      <w:r w:rsidR="00147389" w:rsidRPr="00802BB2">
        <w:t>Se basa en el diseño universal.</w:t>
      </w:r>
      <w:r w:rsidR="002A6C54" w:rsidRPr="00802BB2">
        <w:rPr>
          <w:rStyle w:val="Refdenotaalpie"/>
        </w:rPr>
        <w:footnoteReference w:id="8"/>
      </w:r>
      <w:r w:rsidR="00147389" w:rsidRPr="00802BB2">
        <w:t xml:space="preserve"> Es el pilar y puente para el ejercicio de derechos humanos y libertades fundamentales. Es clave para la vida independiente y la participación plena y efectiva de la personas c</w:t>
      </w:r>
      <w:r w:rsidR="0094426C" w:rsidRPr="00802BB2">
        <w:t>on discapacidad en la sociedad.</w:t>
      </w:r>
    </w:p>
    <w:p w14:paraId="1AF50CA3" w14:textId="638FA560" w:rsidR="00D53559" w:rsidRPr="00802BB2" w:rsidRDefault="00957CC1" w:rsidP="004F22BD">
      <w:pPr>
        <w:pStyle w:val="Prrafodelista"/>
        <w:numPr>
          <w:ilvl w:val="0"/>
          <w:numId w:val="1"/>
        </w:numPr>
        <w:spacing w:before="240"/>
        <w:contextualSpacing w:val="0"/>
        <w:jc w:val="both"/>
      </w:pPr>
      <w:r w:rsidRPr="00802BB2">
        <w:rPr>
          <w:b/>
        </w:rPr>
        <w:t xml:space="preserve">Los </w:t>
      </w:r>
      <w:r w:rsidR="003D6C9C" w:rsidRPr="00802BB2">
        <w:rPr>
          <w:b/>
        </w:rPr>
        <w:t>Ajustes de Procedimiento</w:t>
      </w:r>
      <w:r w:rsidR="00B2672F" w:rsidRPr="00802BB2">
        <w:t>:</w:t>
      </w:r>
      <w:r w:rsidR="007E2C86" w:rsidRPr="00802BB2">
        <w:t xml:space="preserve"> </w:t>
      </w:r>
      <w:r w:rsidR="002D44E2" w:rsidRPr="00802BB2">
        <w:t>Son formas</w:t>
      </w:r>
      <w:r w:rsidR="002015E9" w:rsidRPr="00802BB2">
        <w:t xml:space="preserve"> particular</w:t>
      </w:r>
      <w:r w:rsidR="002D44E2" w:rsidRPr="00802BB2">
        <w:t>es</w:t>
      </w:r>
      <w:r w:rsidR="002015E9" w:rsidRPr="00802BB2">
        <w:t xml:space="preserve"> y precisa</w:t>
      </w:r>
      <w:r w:rsidR="002D44E2" w:rsidRPr="00802BB2">
        <w:t>s</w:t>
      </w:r>
      <w:r w:rsidR="002015E9" w:rsidRPr="00802BB2">
        <w:t xml:space="preserve"> de adecuación</w:t>
      </w:r>
      <w:r w:rsidR="002015E9" w:rsidRPr="00802BB2">
        <w:rPr>
          <w:rFonts w:ascii="Times New Roman" w:eastAsia="Times New Roman" w:hAnsi="Times New Roman" w:cs="Times New Roman"/>
          <w:lang w:val="es-ES" w:eastAsia="ar-SA"/>
        </w:rPr>
        <w:t xml:space="preserve"> </w:t>
      </w:r>
      <w:r w:rsidR="002015E9" w:rsidRPr="00802BB2">
        <w:rPr>
          <w:lang w:val="es-ES"/>
        </w:rPr>
        <w:t xml:space="preserve">para facilitar las funciones efectivas de las personas con discapacidad </w:t>
      </w:r>
      <w:r w:rsidR="009677E4" w:rsidRPr="00802BB2">
        <w:rPr>
          <w:lang w:val="es-ES"/>
        </w:rPr>
        <w:t>en todos los procedimientos judiciales, con inclusión de la etapa de investigación y otras etapas preliminares</w:t>
      </w:r>
      <w:r w:rsidR="00B04516" w:rsidRPr="00802BB2">
        <w:t xml:space="preserve">. Los ajustes </w:t>
      </w:r>
      <w:r w:rsidR="00147389" w:rsidRPr="00802BB2">
        <w:t xml:space="preserve">de procedimiento </w:t>
      </w:r>
      <w:r w:rsidR="002D44E2" w:rsidRPr="00802BB2">
        <w:t>pueden</w:t>
      </w:r>
      <w:r w:rsidR="00B04516" w:rsidRPr="00802BB2">
        <w:t xml:space="preserve"> </w:t>
      </w:r>
      <w:r w:rsidR="00006F24" w:rsidRPr="00802BB2">
        <w:t>prescribirse</w:t>
      </w:r>
      <w:r w:rsidR="00B04516" w:rsidRPr="00802BB2">
        <w:t xml:space="preserve"> en 3 nivel</w:t>
      </w:r>
      <w:r w:rsidR="005F0DC0" w:rsidRPr="00802BB2">
        <w:t>es: en la legislación procesal, en las</w:t>
      </w:r>
      <w:r w:rsidR="002D44E2" w:rsidRPr="00802BB2">
        <w:t xml:space="preserve"> </w:t>
      </w:r>
      <w:r w:rsidR="00E20A30" w:rsidRPr="00802BB2">
        <w:t xml:space="preserve">regulaciones internas </w:t>
      </w:r>
      <w:r w:rsidR="00B04516" w:rsidRPr="00802BB2">
        <w:t xml:space="preserve">del </w:t>
      </w:r>
      <w:r w:rsidR="005F0DC0" w:rsidRPr="00802BB2">
        <w:t>P</w:t>
      </w:r>
      <w:r w:rsidR="00B04516" w:rsidRPr="00802BB2">
        <w:t xml:space="preserve">oder </w:t>
      </w:r>
      <w:r w:rsidR="005F0DC0" w:rsidRPr="00802BB2">
        <w:t>J</w:t>
      </w:r>
      <w:r w:rsidR="00B04516" w:rsidRPr="00802BB2">
        <w:t xml:space="preserve">udicial, </w:t>
      </w:r>
      <w:r w:rsidR="001F17C7" w:rsidRPr="00802BB2">
        <w:t xml:space="preserve">y </w:t>
      </w:r>
      <w:r w:rsidR="00B04516" w:rsidRPr="00802BB2">
        <w:t xml:space="preserve">por </w:t>
      </w:r>
      <w:r w:rsidR="001F17C7" w:rsidRPr="00802BB2">
        <w:t>juezas y jueces</w:t>
      </w:r>
      <w:r w:rsidR="00147389" w:rsidRPr="00802BB2">
        <w:t xml:space="preserve"> en un caso específico</w:t>
      </w:r>
      <w:r w:rsidR="00E20A30" w:rsidRPr="00802BB2">
        <w:t>.</w:t>
      </w:r>
      <w:r w:rsidR="001F17C7" w:rsidRPr="00802BB2">
        <w:t xml:space="preserve"> El rol de </w:t>
      </w:r>
      <w:r w:rsidR="00B22B1C" w:rsidRPr="00802BB2">
        <w:t>estos últimos</w:t>
      </w:r>
      <w:r w:rsidR="001F17C7" w:rsidRPr="00802BB2">
        <w:t xml:space="preserve"> </w:t>
      </w:r>
      <w:r w:rsidR="00D53559" w:rsidRPr="00802BB2">
        <w:t xml:space="preserve">en particular </w:t>
      </w:r>
      <w:r w:rsidR="00B23874" w:rsidRPr="00802BB2">
        <w:t xml:space="preserve">será determinante, </w:t>
      </w:r>
      <w:r w:rsidR="00D53559" w:rsidRPr="00802BB2">
        <w:t>ya que</w:t>
      </w:r>
      <w:r w:rsidR="00B23874" w:rsidRPr="00802BB2">
        <w:t xml:space="preserve"> deberá</w:t>
      </w:r>
      <w:r w:rsidR="00D53559" w:rsidRPr="00802BB2">
        <w:t>n</w:t>
      </w:r>
      <w:r w:rsidR="00B23874" w:rsidRPr="00802BB2">
        <w:t xml:space="preserve"> disponer de </w:t>
      </w:r>
      <w:r w:rsidR="00BD7C0F" w:rsidRPr="00802BB2">
        <w:t xml:space="preserve">adecuaciones </w:t>
      </w:r>
      <w:r w:rsidR="00D53559" w:rsidRPr="00802BB2">
        <w:t xml:space="preserve">solicitadas directamente </w:t>
      </w:r>
      <w:r w:rsidR="008652F4" w:rsidRPr="00802BB2">
        <w:t>por la persona con dis</w:t>
      </w:r>
      <w:r w:rsidR="00D53559" w:rsidRPr="00802BB2">
        <w:t xml:space="preserve">capacidad en un proceso, o bien consultándolo previamente con ella. </w:t>
      </w:r>
    </w:p>
    <w:p w14:paraId="2D8F88AA" w14:textId="008E9385" w:rsidR="0094426C" w:rsidRPr="00802BB2" w:rsidRDefault="00B23874" w:rsidP="004F22BD">
      <w:pPr>
        <w:pStyle w:val="Prrafodelista"/>
        <w:spacing w:before="240"/>
        <w:contextualSpacing w:val="0"/>
        <w:jc w:val="both"/>
      </w:pPr>
      <w:r w:rsidRPr="00802BB2">
        <w:t xml:space="preserve">La casuística suele ser amplia y puede ocurrir que </w:t>
      </w:r>
      <w:r w:rsidR="008652F4" w:rsidRPr="00802BB2">
        <w:t>algunos ajustes de procedimiento</w:t>
      </w:r>
      <w:r w:rsidRPr="00802BB2">
        <w:t xml:space="preserve"> no alcancen a estar </w:t>
      </w:r>
      <w:r w:rsidR="008652F4" w:rsidRPr="00802BB2">
        <w:t>regulados</w:t>
      </w:r>
      <w:r w:rsidR="00D53559" w:rsidRPr="00802BB2">
        <w:t xml:space="preserve"> </w:t>
      </w:r>
      <w:r w:rsidRPr="00802BB2">
        <w:t xml:space="preserve">exhaustivamente </w:t>
      </w:r>
      <w:r w:rsidR="00D53559" w:rsidRPr="00802BB2">
        <w:t>de</w:t>
      </w:r>
      <w:r w:rsidRPr="00802BB2">
        <w:t xml:space="preserve"> forma previa.</w:t>
      </w:r>
      <w:r w:rsidR="00D53559" w:rsidRPr="00802BB2" w:rsidDel="008652F4">
        <w:t xml:space="preserve"> </w:t>
      </w:r>
    </w:p>
    <w:p w14:paraId="1CC31927" w14:textId="6B6199F2" w:rsidR="004408FD" w:rsidRPr="00802BB2" w:rsidRDefault="00006F24" w:rsidP="004F22BD">
      <w:pPr>
        <w:pStyle w:val="Prrafodelista"/>
        <w:spacing w:before="240"/>
        <w:contextualSpacing w:val="0"/>
        <w:jc w:val="both"/>
      </w:pPr>
      <w:r w:rsidRPr="00802BB2">
        <w:t xml:space="preserve">De este </w:t>
      </w:r>
      <w:r w:rsidR="00D53559" w:rsidRPr="00802BB2">
        <w:t>modo</w:t>
      </w:r>
      <w:r w:rsidRPr="00802BB2">
        <w:t xml:space="preserve"> se </w:t>
      </w:r>
      <w:r w:rsidR="00D53559" w:rsidRPr="00802BB2">
        <w:t>contemplan</w:t>
      </w:r>
      <w:r w:rsidR="004408FD" w:rsidRPr="00802BB2">
        <w:t xml:space="preserve"> </w:t>
      </w:r>
      <w:r w:rsidR="00D53559" w:rsidRPr="00802BB2">
        <w:t xml:space="preserve">distintos </w:t>
      </w:r>
      <w:r w:rsidR="008652F4" w:rsidRPr="00802BB2">
        <w:t>ajustes de procedimiento</w:t>
      </w:r>
      <w:r w:rsidR="004408FD" w:rsidRPr="00802BB2">
        <w:t xml:space="preserve"> para cada </w:t>
      </w:r>
      <w:r w:rsidR="00D53559" w:rsidRPr="00802BB2">
        <w:t xml:space="preserve">persona según el tipo de discapacidad que presenta, </w:t>
      </w:r>
      <w:r w:rsidR="004408FD" w:rsidRPr="00802BB2">
        <w:t xml:space="preserve">permitiendo </w:t>
      </w:r>
      <w:r w:rsidR="00D53559" w:rsidRPr="00802BB2">
        <w:t xml:space="preserve">que </w:t>
      </w:r>
      <w:r w:rsidR="006A1821" w:rsidRPr="00802BB2">
        <w:t xml:space="preserve">tales </w:t>
      </w:r>
      <w:r w:rsidR="00D53559" w:rsidRPr="00802BB2">
        <w:t xml:space="preserve">ajustes sean diversos y </w:t>
      </w:r>
      <w:r w:rsidR="004408FD" w:rsidRPr="00802BB2">
        <w:t>flexibles</w:t>
      </w:r>
      <w:r w:rsidR="00EB410E" w:rsidRPr="00802BB2">
        <w:t>.</w:t>
      </w:r>
    </w:p>
    <w:p w14:paraId="4B9D5F95" w14:textId="79A04D00" w:rsidR="00EB410E" w:rsidRPr="00802BB2" w:rsidRDefault="001365C3" w:rsidP="004F22BD">
      <w:pPr>
        <w:pStyle w:val="Prrafodelista"/>
        <w:numPr>
          <w:ilvl w:val="0"/>
          <w:numId w:val="1"/>
        </w:numPr>
        <w:spacing w:before="240"/>
        <w:contextualSpacing w:val="0"/>
        <w:jc w:val="both"/>
      </w:pPr>
      <w:r w:rsidRPr="00802BB2">
        <w:rPr>
          <w:rFonts w:cstheme="minorHAnsi"/>
          <w:b/>
          <w:bCs/>
        </w:rPr>
        <w:t xml:space="preserve">La </w:t>
      </w:r>
      <w:r w:rsidR="00B2672F" w:rsidRPr="00802BB2">
        <w:rPr>
          <w:rFonts w:cstheme="minorHAnsi"/>
          <w:b/>
          <w:bCs/>
        </w:rPr>
        <w:t>Capacitación:</w:t>
      </w:r>
      <w:r w:rsidR="00F92AF1" w:rsidRPr="00802BB2">
        <w:rPr>
          <w:rFonts w:cstheme="minorHAnsi"/>
          <w:b/>
          <w:bCs/>
        </w:rPr>
        <w:t xml:space="preserve"> </w:t>
      </w:r>
      <w:r w:rsidR="007218C0" w:rsidRPr="00802BB2">
        <w:rPr>
          <w:rFonts w:cstheme="minorHAnsi"/>
        </w:rPr>
        <w:t xml:space="preserve">Debe realizarse </w:t>
      </w:r>
      <w:r w:rsidR="004F35D6" w:rsidRPr="00802BB2">
        <w:rPr>
          <w:rFonts w:cstheme="minorHAnsi"/>
        </w:rPr>
        <w:t xml:space="preserve">una </w:t>
      </w:r>
      <w:r w:rsidR="007218C0" w:rsidRPr="00802BB2">
        <w:rPr>
          <w:rFonts w:cstheme="minorHAnsi"/>
        </w:rPr>
        <w:t>formación inicial</w:t>
      </w:r>
      <w:r w:rsidR="00C17D60" w:rsidRPr="00802BB2">
        <w:rPr>
          <w:rFonts w:cstheme="minorHAnsi"/>
        </w:rPr>
        <w:t xml:space="preserve"> y capacitación continua a</w:t>
      </w:r>
      <w:r w:rsidR="005F0DC0" w:rsidRPr="00802BB2">
        <w:rPr>
          <w:rFonts w:cstheme="minorHAnsi"/>
        </w:rPr>
        <w:t xml:space="preserve"> </w:t>
      </w:r>
      <w:r w:rsidR="00A85732" w:rsidRPr="00802BB2">
        <w:rPr>
          <w:rFonts w:cstheme="minorHAnsi"/>
        </w:rPr>
        <w:t>las juezas, jueces</w:t>
      </w:r>
      <w:r w:rsidR="005F0DC0" w:rsidRPr="00802BB2">
        <w:rPr>
          <w:rFonts w:cstheme="minorHAnsi"/>
        </w:rPr>
        <w:t>, funcionari</w:t>
      </w:r>
      <w:r w:rsidR="00A85732" w:rsidRPr="00802BB2">
        <w:rPr>
          <w:rFonts w:cstheme="minorHAnsi"/>
        </w:rPr>
        <w:t>as y funcionario</w:t>
      </w:r>
      <w:r w:rsidR="005F0DC0" w:rsidRPr="00802BB2">
        <w:rPr>
          <w:rFonts w:cstheme="minorHAnsi"/>
        </w:rPr>
        <w:t>s auxiliares</w:t>
      </w:r>
      <w:r w:rsidR="00C17D60" w:rsidRPr="00802BB2">
        <w:rPr>
          <w:rFonts w:cstheme="minorHAnsi"/>
        </w:rPr>
        <w:t xml:space="preserve"> de la Administración de Justicia</w:t>
      </w:r>
      <w:r w:rsidR="00C54A3E" w:rsidRPr="00802BB2">
        <w:rPr>
          <w:rFonts w:cstheme="minorHAnsi"/>
        </w:rPr>
        <w:t xml:space="preserve">, </w:t>
      </w:r>
      <w:r w:rsidR="005F0DC0" w:rsidRPr="00802BB2">
        <w:rPr>
          <w:rFonts w:cstheme="minorHAnsi"/>
        </w:rPr>
        <w:t>incluidos los guardias de los recintos judiciales,</w:t>
      </w:r>
      <w:r w:rsidR="007218C0" w:rsidRPr="00802BB2">
        <w:rPr>
          <w:rFonts w:cstheme="minorHAnsi"/>
        </w:rPr>
        <w:t xml:space="preserve"> sobre el m</w:t>
      </w:r>
      <w:r w:rsidR="00C17D60" w:rsidRPr="00802BB2">
        <w:rPr>
          <w:rFonts w:cstheme="minorHAnsi"/>
        </w:rPr>
        <w:t xml:space="preserve">odelo de derechos humanos de las </w:t>
      </w:r>
      <w:r w:rsidR="007218C0" w:rsidRPr="00802BB2">
        <w:rPr>
          <w:rFonts w:cstheme="minorHAnsi"/>
        </w:rPr>
        <w:t>personas con discapacidad</w:t>
      </w:r>
      <w:r w:rsidR="00D028D8" w:rsidRPr="00802BB2">
        <w:rPr>
          <w:rFonts w:cstheme="minorHAnsi"/>
        </w:rPr>
        <w:t xml:space="preserve"> y</w:t>
      </w:r>
      <w:r w:rsidR="007218C0" w:rsidRPr="00802BB2">
        <w:rPr>
          <w:rFonts w:cstheme="minorHAnsi"/>
        </w:rPr>
        <w:t xml:space="preserve"> </w:t>
      </w:r>
      <w:r w:rsidR="00F30FB4" w:rsidRPr="00802BB2">
        <w:rPr>
          <w:rFonts w:cstheme="minorHAnsi"/>
        </w:rPr>
        <w:t xml:space="preserve">el ejercicio de </w:t>
      </w:r>
      <w:r w:rsidR="007218C0" w:rsidRPr="00802BB2">
        <w:rPr>
          <w:rFonts w:cstheme="minorHAnsi"/>
        </w:rPr>
        <w:t>sus derechos</w:t>
      </w:r>
      <w:r w:rsidR="00D028D8" w:rsidRPr="00802BB2">
        <w:rPr>
          <w:rFonts w:cstheme="minorHAnsi"/>
        </w:rPr>
        <w:t xml:space="preserve">, con perspectiva de género, infancia y envejecimiento, como también la interseccionalidad que deriva de las diversas circunstancias de una persona con discapacidad, como su etnia, raza o religión, entre otras. </w:t>
      </w:r>
    </w:p>
    <w:p w14:paraId="3489ACC5" w14:textId="200BF83D" w:rsidR="004F22BD" w:rsidRPr="00802BB2" w:rsidRDefault="00CE7C93" w:rsidP="00EB410E">
      <w:pPr>
        <w:pStyle w:val="Prrafodelista"/>
        <w:spacing w:before="240"/>
        <w:contextualSpacing w:val="0"/>
        <w:jc w:val="both"/>
      </w:pPr>
      <w:r w:rsidRPr="00802BB2">
        <w:rPr>
          <w:rFonts w:cstheme="minorHAnsi"/>
        </w:rPr>
        <w:t xml:space="preserve">Esta capacitación debe contemplar módulos de interacción directa con personas con discapacidad y las organizaciones que las representan. </w:t>
      </w:r>
      <w:r w:rsidR="00F30FB4" w:rsidRPr="00802BB2">
        <w:rPr>
          <w:rFonts w:cstheme="minorHAnsi"/>
        </w:rPr>
        <w:t>Se debe i</w:t>
      </w:r>
      <w:r w:rsidR="007218C0" w:rsidRPr="00802BB2">
        <w:rPr>
          <w:rFonts w:cstheme="minorHAnsi"/>
        </w:rPr>
        <w:t>ncluir formación en el uso correcto del lenguaje</w:t>
      </w:r>
      <w:r w:rsidRPr="00802BB2">
        <w:rPr>
          <w:rFonts w:cstheme="minorHAnsi"/>
        </w:rPr>
        <w:t xml:space="preserve">, </w:t>
      </w:r>
      <w:r w:rsidR="001365C3" w:rsidRPr="00802BB2">
        <w:rPr>
          <w:rFonts w:cstheme="minorHAnsi"/>
        </w:rPr>
        <w:t xml:space="preserve">tanto verbal como gestual, </w:t>
      </w:r>
      <w:r w:rsidR="007218C0" w:rsidRPr="00802BB2">
        <w:rPr>
          <w:rFonts w:cstheme="minorHAnsi"/>
        </w:rPr>
        <w:t>la eliminación</w:t>
      </w:r>
      <w:r w:rsidR="00937873" w:rsidRPr="00802BB2">
        <w:rPr>
          <w:rFonts w:cstheme="minorHAnsi"/>
        </w:rPr>
        <w:t xml:space="preserve"> de lenguaje peyorativo</w:t>
      </w:r>
      <w:r w:rsidR="001365C3" w:rsidRPr="00802BB2">
        <w:rPr>
          <w:rFonts w:cstheme="minorHAnsi"/>
        </w:rPr>
        <w:t>,</w:t>
      </w:r>
      <w:r w:rsidR="00937873" w:rsidRPr="00802BB2">
        <w:rPr>
          <w:rFonts w:cstheme="minorHAnsi"/>
        </w:rPr>
        <w:t xml:space="preserve"> </w:t>
      </w:r>
      <w:r w:rsidR="007218C0" w:rsidRPr="00802BB2">
        <w:rPr>
          <w:rFonts w:cstheme="minorHAnsi"/>
        </w:rPr>
        <w:t>barreras actitudinales</w:t>
      </w:r>
      <w:r w:rsidR="00241DC8" w:rsidRPr="00802BB2">
        <w:rPr>
          <w:rFonts w:cstheme="minorHAnsi"/>
        </w:rPr>
        <w:t>,</w:t>
      </w:r>
      <w:r w:rsidR="008652F4" w:rsidRPr="00802BB2">
        <w:rPr>
          <w:rFonts w:cstheme="minorHAnsi"/>
        </w:rPr>
        <w:t xml:space="preserve"> </w:t>
      </w:r>
      <w:r w:rsidR="001365C3" w:rsidRPr="00802BB2">
        <w:rPr>
          <w:rFonts w:cstheme="minorHAnsi"/>
        </w:rPr>
        <w:t xml:space="preserve">prejuicios y estereotipos, </w:t>
      </w:r>
      <w:r w:rsidR="008652F4" w:rsidRPr="00802BB2">
        <w:rPr>
          <w:rFonts w:cstheme="minorHAnsi"/>
        </w:rPr>
        <w:t xml:space="preserve">como por ejemplo </w:t>
      </w:r>
      <w:r w:rsidR="00241DC8" w:rsidRPr="00802BB2">
        <w:rPr>
          <w:rFonts w:cstheme="minorHAnsi"/>
        </w:rPr>
        <w:t>la sobreprotección y trato infantilizado hacia las personas con discapacidad</w:t>
      </w:r>
      <w:r w:rsidR="001365C3" w:rsidRPr="00802BB2">
        <w:rPr>
          <w:rFonts w:cstheme="minorHAnsi"/>
        </w:rPr>
        <w:t>.</w:t>
      </w:r>
      <w:r w:rsidR="00241DC8" w:rsidRPr="00802BB2">
        <w:rPr>
          <w:rFonts w:cstheme="minorHAnsi"/>
        </w:rPr>
        <w:t xml:space="preserve"> </w:t>
      </w:r>
      <w:r w:rsidR="00F30FB4" w:rsidRPr="00802BB2">
        <w:rPr>
          <w:rFonts w:cstheme="minorHAnsi"/>
        </w:rPr>
        <w:t xml:space="preserve">Es importante la formación del personal judicial en lengua de señas del respectivo país como también estar preparados </w:t>
      </w:r>
      <w:r w:rsidR="00937873" w:rsidRPr="00802BB2">
        <w:rPr>
          <w:rFonts w:cstheme="minorHAnsi"/>
        </w:rPr>
        <w:t>para</w:t>
      </w:r>
      <w:r w:rsidR="00F30FB4" w:rsidRPr="00802BB2">
        <w:rPr>
          <w:rFonts w:cstheme="minorHAnsi"/>
        </w:rPr>
        <w:t xml:space="preserve"> percibir el</w:t>
      </w:r>
      <w:r w:rsidR="00937873" w:rsidRPr="00802BB2">
        <w:rPr>
          <w:rFonts w:cstheme="minorHAnsi"/>
        </w:rPr>
        <w:t xml:space="preserve"> </w:t>
      </w:r>
      <w:r w:rsidR="00F30FB4" w:rsidRPr="00802BB2">
        <w:rPr>
          <w:rFonts w:cstheme="minorHAnsi"/>
        </w:rPr>
        <w:t>lenguaje no verbal de las personas con discapacidad.</w:t>
      </w:r>
      <w:r w:rsidR="004F22BD" w:rsidRPr="00802BB2">
        <w:t xml:space="preserve"> </w:t>
      </w:r>
    </w:p>
    <w:p w14:paraId="778C2B84" w14:textId="22C6484A" w:rsidR="007218C0" w:rsidRPr="00802BB2" w:rsidRDefault="007218C0" w:rsidP="004F22BD">
      <w:pPr>
        <w:pStyle w:val="Prrafodelista"/>
        <w:spacing w:before="240"/>
        <w:contextualSpacing w:val="0"/>
        <w:jc w:val="both"/>
        <w:rPr>
          <w:rFonts w:cstheme="minorHAnsi"/>
        </w:rPr>
      </w:pPr>
      <w:r w:rsidRPr="00802BB2">
        <w:rPr>
          <w:rFonts w:cstheme="minorHAnsi"/>
        </w:rPr>
        <w:t>Es relevante g</w:t>
      </w:r>
      <w:r w:rsidR="00C17D60" w:rsidRPr="00802BB2">
        <w:rPr>
          <w:rFonts w:cstheme="minorHAnsi"/>
        </w:rPr>
        <w:t>enerar protocolos claros en cuanto al trato, información y comunicación respecto a la vinculación de funcionari</w:t>
      </w:r>
      <w:r w:rsidR="00F43ED6" w:rsidRPr="00802BB2">
        <w:rPr>
          <w:rFonts w:cstheme="minorHAnsi"/>
        </w:rPr>
        <w:t>a</w:t>
      </w:r>
      <w:r w:rsidR="00C17D60" w:rsidRPr="00802BB2">
        <w:rPr>
          <w:rFonts w:cstheme="minorHAnsi"/>
        </w:rPr>
        <w:t>s</w:t>
      </w:r>
      <w:r w:rsidR="00F92AF1" w:rsidRPr="00802BB2">
        <w:rPr>
          <w:rFonts w:cstheme="minorHAnsi"/>
        </w:rPr>
        <w:t xml:space="preserve"> </w:t>
      </w:r>
      <w:r w:rsidR="00F43ED6" w:rsidRPr="00802BB2">
        <w:rPr>
          <w:rFonts w:cstheme="minorHAnsi"/>
        </w:rPr>
        <w:t xml:space="preserve">y funcionarios </w:t>
      </w:r>
      <w:r w:rsidR="00C17D60" w:rsidRPr="00802BB2">
        <w:rPr>
          <w:rFonts w:cstheme="minorHAnsi"/>
        </w:rPr>
        <w:t>judicial</w:t>
      </w:r>
      <w:r w:rsidR="00F92AF1" w:rsidRPr="00802BB2">
        <w:rPr>
          <w:rFonts w:cstheme="minorHAnsi"/>
        </w:rPr>
        <w:t>es</w:t>
      </w:r>
      <w:r w:rsidR="00C17D60" w:rsidRPr="00802BB2">
        <w:rPr>
          <w:rFonts w:cstheme="minorHAnsi"/>
        </w:rPr>
        <w:t xml:space="preserve"> y los usuarios </w:t>
      </w:r>
      <w:r w:rsidR="00937873" w:rsidRPr="00802BB2">
        <w:rPr>
          <w:rFonts w:cstheme="minorHAnsi"/>
        </w:rPr>
        <w:t xml:space="preserve">con discapacidad </w:t>
      </w:r>
      <w:r w:rsidR="00C17D60" w:rsidRPr="00802BB2">
        <w:rPr>
          <w:rFonts w:cstheme="minorHAnsi"/>
        </w:rPr>
        <w:t xml:space="preserve">del sistema. </w:t>
      </w:r>
      <w:r w:rsidRPr="00802BB2">
        <w:rPr>
          <w:rFonts w:cstheme="minorHAnsi"/>
        </w:rPr>
        <w:t>El t</w:t>
      </w:r>
      <w:r w:rsidR="00C17D60" w:rsidRPr="00802BB2">
        <w:rPr>
          <w:rFonts w:cstheme="minorHAnsi"/>
        </w:rPr>
        <w:t xml:space="preserve">rato adecuado </w:t>
      </w:r>
      <w:r w:rsidRPr="00802BB2">
        <w:rPr>
          <w:rFonts w:cstheme="minorHAnsi"/>
        </w:rPr>
        <w:t xml:space="preserve">debe ser por parte de </w:t>
      </w:r>
      <w:r w:rsidR="00C17D60" w:rsidRPr="00802BB2">
        <w:rPr>
          <w:rFonts w:cstheme="minorHAnsi"/>
        </w:rPr>
        <w:t>tod</w:t>
      </w:r>
      <w:r w:rsidR="00A85732" w:rsidRPr="00802BB2">
        <w:rPr>
          <w:rFonts w:cstheme="minorHAnsi"/>
        </w:rPr>
        <w:t>a</w:t>
      </w:r>
      <w:r w:rsidR="00C17D60" w:rsidRPr="00802BB2">
        <w:rPr>
          <w:rFonts w:cstheme="minorHAnsi"/>
        </w:rPr>
        <w:t xml:space="preserve">s </w:t>
      </w:r>
      <w:r w:rsidR="00A85732" w:rsidRPr="00802BB2">
        <w:rPr>
          <w:rFonts w:cstheme="minorHAnsi"/>
        </w:rPr>
        <w:t xml:space="preserve">las funcionarias y </w:t>
      </w:r>
      <w:r w:rsidR="00C17D60" w:rsidRPr="00802BB2">
        <w:rPr>
          <w:rFonts w:cstheme="minorHAnsi"/>
        </w:rPr>
        <w:t>funcionarios</w:t>
      </w:r>
      <w:r w:rsidR="00A85732" w:rsidRPr="00802BB2">
        <w:rPr>
          <w:rFonts w:cstheme="minorHAnsi"/>
        </w:rPr>
        <w:t>,</w:t>
      </w:r>
      <w:r w:rsidR="00C17D60" w:rsidRPr="00802BB2">
        <w:rPr>
          <w:rFonts w:cstheme="minorHAnsi"/>
        </w:rPr>
        <w:t xml:space="preserve"> </w:t>
      </w:r>
      <w:r w:rsidRPr="00802BB2">
        <w:rPr>
          <w:rFonts w:cstheme="minorHAnsi"/>
        </w:rPr>
        <w:t>sin que éste sea aleatorio o</w:t>
      </w:r>
      <w:r w:rsidR="00414EF6" w:rsidRPr="00802BB2">
        <w:rPr>
          <w:rFonts w:cstheme="minorHAnsi"/>
        </w:rPr>
        <w:t xml:space="preserve"> voluntario</w:t>
      </w:r>
      <w:r w:rsidRPr="00802BB2">
        <w:rPr>
          <w:rFonts w:cstheme="minorHAnsi"/>
        </w:rPr>
        <w:t>.</w:t>
      </w:r>
      <w:r w:rsidR="00414EF6" w:rsidRPr="00802BB2">
        <w:rPr>
          <w:rFonts w:cstheme="minorHAnsi"/>
        </w:rPr>
        <w:t xml:space="preserve"> </w:t>
      </w:r>
    </w:p>
    <w:p w14:paraId="1F6040C6" w14:textId="1D263B5B" w:rsidR="00D028D8" w:rsidRPr="00802BB2" w:rsidRDefault="007218C0" w:rsidP="00D028D8">
      <w:pPr>
        <w:pStyle w:val="Prrafodelista"/>
        <w:spacing w:before="240"/>
        <w:contextualSpacing w:val="0"/>
        <w:jc w:val="both"/>
        <w:rPr>
          <w:rFonts w:cstheme="minorHAnsi"/>
        </w:rPr>
      </w:pPr>
      <w:r w:rsidRPr="00802BB2">
        <w:rPr>
          <w:rFonts w:cstheme="minorHAnsi"/>
        </w:rPr>
        <w:t>La c</w:t>
      </w:r>
      <w:r w:rsidR="005D5F04" w:rsidRPr="00802BB2">
        <w:rPr>
          <w:rFonts w:cstheme="minorHAnsi"/>
        </w:rPr>
        <w:t xml:space="preserve">apacitación </w:t>
      </w:r>
      <w:r w:rsidRPr="00802BB2">
        <w:rPr>
          <w:rFonts w:cstheme="minorHAnsi"/>
        </w:rPr>
        <w:t xml:space="preserve">también debe extenderse </w:t>
      </w:r>
      <w:r w:rsidR="005D5F04" w:rsidRPr="00802BB2">
        <w:rPr>
          <w:rFonts w:cstheme="minorHAnsi"/>
        </w:rPr>
        <w:t xml:space="preserve">a </w:t>
      </w:r>
      <w:r w:rsidR="00E82495" w:rsidRPr="00802BB2">
        <w:rPr>
          <w:rFonts w:cstheme="minorHAnsi"/>
        </w:rPr>
        <w:t>usuarios</w:t>
      </w:r>
      <w:r w:rsidR="005D5F04" w:rsidRPr="00802BB2">
        <w:rPr>
          <w:rFonts w:cstheme="minorHAnsi"/>
        </w:rPr>
        <w:t xml:space="preserve"> con discapacidad </w:t>
      </w:r>
      <w:r w:rsidRPr="00802BB2">
        <w:rPr>
          <w:rFonts w:cstheme="minorHAnsi"/>
        </w:rPr>
        <w:t xml:space="preserve">que se acerquen al poder judicial, tanto </w:t>
      </w:r>
      <w:r w:rsidR="00937873" w:rsidRPr="00802BB2">
        <w:rPr>
          <w:rFonts w:cstheme="minorHAnsi"/>
        </w:rPr>
        <w:t>sobre</w:t>
      </w:r>
      <w:r w:rsidRPr="00802BB2">
        <w:rPr>
          <w:rFonts w:cstheme="minorHAnsi"/>
        </w:rPr>
        <w:t xml:space="preserve"> </w:t>
      </w:r>
      <w:r w:rsidR="005D5F04" w:rsidRPr="00802BB2">
        <w:rPr>
          <w:rFonts w:cstheme="minorHAnsi"/>
        </w:rPr>
        <w:t>sus derechos,</w:t>
      </w:r>
      <w:r w:rsidRPr="00802BB2">
        <w:rPr>
          <w:rFonts w:cstheme="minorHAnsi"/>
        </w:rPr>
        <w:t xml:space="preserve"> </w:t>
      </w:r>
      <w:r w:rsidR="00937873" w:rsidRPr="00802BB2">
        <w:rPr>
          <w:rFonts w:cstheme="minorHAnsi"/>
        </w:rPr>
        <w:t xml:space="preserve">incluido el derecho a ajustes de procedimiento, </w:t>
      </w:r>
      <w:r w:rsidRPr="00802BB2">
        <w:rPr>
          <w:rFonts w:cstheme="minorHAnsi"/>
        </w:rPr>
        <w:t>como</w:t>
      </w:r>
      <w:r w:rsidR="00E82495" w:rsidRPr="00802BB2">
        <w:rPr>
          <w:rFonts w:cstheme="minorHAnsi"/>
        </w:rPr>
        <w:t xml:space="preserve"> a</w:t>
      </w:r>
      <w:r w:rsidRPr="00802BB2">
        <w:rPr>
          <w:rFonts w:cstheme="minorHAnsi"/>
        </w:rPr>
        <w:t xml:space="preserve"> </w:t>
      </w:r>
      <w:r w:rsidR="00937873" w:rsidRPr="00802BB2">
        <w:rPr>
          <w:rFonts w:cstheme="minorHAnsi"/>
        </w:rPr>
        <w:t>las acciones y recursos</w:t>
      </w:r>
      <w:r w:rsidR="005D5F04" w:rsidRPr="00802BB2">
        <w:rPr>
          <w:rFonts w:cstheme="minorHAnsi"/>
        </w:rPr>
        <w:t xml:space="preserve"> para el acceso a la Justicia.</w:t>
      </w:r>
      <w:r w:rsidR="004F22BD" w:rsidRPr="00802BB2">
        <w:rPr>
          <w:rFonts w:cstheme="minorHAnsi"/>
        </w:rPr>
        <w:t xml:space="preserve"> </w:t>
      </w:r>
    </w:p>
    <w:p w14:paraId="78C14472" w14:textId="20D47F3C" w:rsidR="00B2672F" w:rsidRPr="00802BB2" w:rsidRDefault="00F126C9" w:rsidP="004F22BD">
      <w:pPr>
        <w:pStyle w:val="Prrafodelista"/>
        <w:numPr>
          <w:ilvl w:val="0"/>
          <w:numId w:val="1"/>
        </w:numPr>
        <w:spacing w:before="240"/>
        <w:contextualSpacing w:val="0"/>
        <w:jc w:val="both"/>
        <w:rPr>
          <w:rFonts w:cstheme="minorHAnsi"/>
          <w:b/>
        </w:rPr>
      </w:pPr>
      <w:r w:rsidRPr="00802BB2">
        <w:rPr>
          <w:rFonts w:cstheme="minorHAnsi"/>
          <w:b/>
        </w:rPr>
        <w:t>Defensa y representación jurídica</w:t>
      </w:r>
      <w:r w:rsidR="00B2672F" w:rsidRPr="00802BB2">
        <w:rPr>
          <w:rFonts w:cstheme="minorHAnsi"/>
          <w:b/>
        </w:rPr>
        <w:t xml:space="preserve">: </w:t>
      </w:r>
    </w:p>
    <w:p w14:paraId="5E5394FC" w14:textId="46DFFFC7" w:rsidR="004F22BD" w:rsidRPr="00802BB2" w:rsidRDefault="00F126C9" w:rsidP="004F22BD">
      <w:pPr>
        <w:pStyle w:val="Prrafodelista"/>
        <w:spacing w:before="240"/>
        <w:contextualSpacing w:val="0"/>
        <w:jc w:val="both"/>
        <w:rPr>
          <w:rFonts w:cstheme="minorHAnsi"/>
        </w:rPr>
      </w:pPr>
      <w:r w:rsidRPr="00802BB2">
        <w:rPr>
          <w:rFonts w:cstheme="minorHAnsi"/>
        </w:rPr>
        <w:t>Los servicios de defensa y</w:t>
      </w:r>
      <w:r w:rsidR="00914C03" w:rsidRPr="00802BB2">
        <w:rPr>
          <w:rFonts w:cstheme="minorHAnsi"/>
        </w:rPr>
        <w:t xml:space="preserve"> </w:t>
      </w:r>
      <w:r w:rsidRPr="00802BB2">
        <w:rPr>
          <w:rFonts w:cstheme="minorHAnsi"/>
        </w:rPr>
        <w:t>representaci</w:t>
      </w:r>
      <w:r w:rsidR="00914C03" w:rsidRPr="00802BB2">
        <w:rPr>
          <w:rFonts w:cstheme="minorHAnsi"/>
        </w:rPr>
        <w:t>ó</w:t>
      </w:r>
      <w:r w:rsidRPr="00802BB2">
        <w:rPr>
          <w:rFonts w:cstheme="minorHAnsi"/>
        </w:rPr>
        <w:t>n jurídica gratuita</w:t>
      </w:r>
      <w:r w:rsidR="00914C03" w:rsidRPr="00802BB2">
        <w:rPr>
          <w:rFonts w:cstheme="minorHAnsi"/>
        </w:rPr>
        <w:t xml:space="preserve"> deben estar capacitados para atender a personas con discapacidad, </w:t>
      </w:r>
      <w:r w:rsidR="00E82495" w:rsidRPr="00802BB2">
        <w:rPr>
          <w:rFonts w:cstheme="minorHAnsi"/>
        </w:rPr>
        <w:t xml:space="preserve">teniendo en cuenta </w:t>
      </w:r>
      <w:r w:rsidR="00914C03" w:rsidRPr="00802BB2">
        <w:rPr>
          <w:rFonts w:cstheme="minorHAnsi"/>
        </w:rPr>
        <w:t xml:space="preserve">su diversidad </w:t>
      </w:r>
      <w:r w:rsidR="00E82495" w:rsidRPr="00802BB2">
        <w:rPr>
          <w:rFonts w:cstheme="minorHAnsi"/>
        </w:rPr>
        <w:t xml:space="preserve">con </w:t>
      </w:r>
      <w:r w:rsidR="00845841" w:rsidRPr="00802BB2">
        <w:rPr>
          <w:rFonts w:cstheme="minorHAnsi"/>
        </w:rPr>
        <w:t>aplicación del</w:t>
      </w:r>
      <w:r w:rsidR="00914C03" w:rsidRPr="00802BB2">
        <w:rPr>
          <w:rFonts w:cstheme="minorHAnsi"/>
        </w:rPr>
        <w:t xml:space="preserve"> modelo de derechos humanos. </w:t>
      </w:r>
      <w:r w:rsidR="001365C3" w:rsidRPr="00802BB2">
        <w:rPr>
          <w:rFonts w:cstheme="minorHAnsi"/>
        </w:rPr>
        <w:t>Igual exigencia tendrán los servicios de defensa y representación jurídica de carácter privado.</w:t>
      </w:r>
    </w:p>
    <w:p w14:paraId="478781C1" w14:textId="4753CD46" w:rsidR="004F22BD" w:rsidRPr="00802BB2" w:rsidRDefault="00914C03" w:rsidP="004F22BD">
      <w:pPr>
        <w:pStyle w:val="Prrafodelista"/>
        <w:spacing w:before="240"/>
        <w:contextualSpacing w:val="0"/>
        <w:jc w:val="both"/>
        <w:rPr>
          <w:rFonts w:cstheme="minorHAnsi"/>
        </w:rPr>
      </w:pPr>
      <w:r w:rsidRPr="00802BB2">
        <w:rPr>
          <w:rFonts w:cstheme="minorHAnsi"/>
        </w:rPr>
        <w:t>Por otra parte, se debe tener presente que hay</w:t>
      </w:r>
      <w:r w:rsidR="00241DC8" w:rsidRPr="00802BB2">
        <w:rPr>
          <w:rFonts w:cstheme="minorHAnsi"/>
        </w:rPr>
        <w:t xml:space="preserve"> abogadas y</w:t>
      </w:r>
      <w:r w:rsidRPr="00802BB2">
        <w:rPr>
          <w:rFonts w:cstheme="minorHAnsi"/>
        </w:rPr>
        <w:t xml:space="preserve"> abogados con discapacidad en ejercicio que tienen derecho a todos los ajustes del procedimiento</w:t>
      </w:r>
      <w:r w:rsidR="00E82495" w:rsidRPr="00802BB2">
        <w:rPr>
          <w:rFonts w:cstheme="minorHAnsi"/>
        </w:rPr>
        <w:t xml:space="preserve"> adecuados</w:t>
      </w:r>
      <w:r w:rsidRPr="00802BB2">
        <w:rPr>
          <w:rFonts w:cstheme="minorHAnsi"/>
        </w:rPr>
        <w:t xml:space="preserve"> para </w:t>
      </w:r>
      <w:r w:rsidR="00E82495" w:rsidRPr="00802BB2">
        <w:rPr>
          <w:rFonts w:cstheme="minorHAnsi"/>
        </w:rPr>
        <w:t xml:space="preserve">ejercer </w:t>
      </w:r>
      <w:r w:rsidRPr="00802BB2">
        <w:rPr>
          <w:rFonts w:cstheme="minorHAnsi"/>
        </w:rPr>
        <w:t xml:space="preserve">su labor profesional, a requerimiento de ellos mismos. </w:t>
      </w:r>
      <w:r w:rsidR="00364AC4" w:rsidRPr="00802BB2">
        <w:rPr>
          <w:rFonts w:cstheme="minorHAnsi"/>
        </w:rPr>
        <w:t xml:space="preserve"> </w:t>
      </w:r>
    </w:p>
    <w:p w14:paraId="00417E70" w14:textId="3C83CE86" w:rsidR="004408FD" w:rsidRPr="00802BB2" w:rsidRDefault="009A5B98" w:rsidP="004F22BD">
      <w:pPr>
        <w:pStyle w:val="Prrafodelista"/>
        <w:spacing w:before="240"/>
        <w:contextualSpacing w:val="0"/>
        <w:jc w:val="both"/>
        <w:rPr>
          <w:rFonts w:cstheme="minorHAnsi"/>
        </w:rPr>
      </w:pPr>
      <w:r w:rsidRPr="00802BB2">
        <w:rPr>
          <w:rFonts w:cstheme="minorHAnsi"/>
        </w:rPr>
        <w:t xml:space="preserve">La Administración de Justicia debe reconocer el rol de los </w:t>
      </w:r>
      <w:proofErr w:type="spellStart"/>
      <w:r w:rsidRPr="00802BB2">
        <w:rPr>
          <w:rFonts w:cstheme="minorHAnsi"/>
        </w:rPr>
        <w:t>autodefensores</w:t>
      </w:r>
      <w:proofErr w:type="spellEnd"/>
      <w:r w:rsidRPr="00802BB2">
        <w:rPr>
          <w:rFonts w:cstheme="minorHAnsi"/>
        </w:rPr>
        <w:t xml:space="preserve"> </w:t>
      </w:r>
      <w:r w:rsidR="00D350F8" w:rsidRPr="00802BB2">
        <w:rPr>
          <w:rFonts w:cstheme="minorHAnsi"/>
        </w:rPr>
        <w:t>y considerar la figura de apoyo en la defensa</w:t>
      </w:r>
      <w:r w:rsidR="00E82495" w:rsidRPr="00802BB2">
        <w:rPr>
          <w:rFonts w:cstheme="minorHAnsi"/>
        </w:rPr>
        <w:t xml:space="preserve"> que una persona con discapacidad puede hacer </w:t>
      </w:r>
      <w:r w:rsidR="00D350F8" w:rsidRPr="00802BB2">
        <w:rPr>
          <w:rFonts w:cstheme="minorHAnsi"/>
        </w:rPr>
        <w:t>de sus</w:t>
      </w:r>
      <w:r w:rsidR="00E82495" w:rsidRPr="00802BB2">
        <w:rPr>
          <w:rFonts w:cstheme="minorHAnsi"/>
        </w:rPr>
        <w:t xml:space="preserve"> propios</w:t>
      </w:r>
      <w:r w:rsidR="00D350F8" w:rsidRPr="00802BB2">
        <w:rPr>
          <w:rFonts w:cstheme="minorHAnsi"/>
        </w:rPr>
        <w:t xml:space="preserve"> </w:t>
      </w:r>
      <w:r w:rsidR="00D04BF5" w:rsidRPr="00802BB2">
        <w:rPr>
          <w:rFonts w:cstheme="minorHAnsi"/>
        </w:rPr>
        <w:t>derechos</w:t>
      </w:r>
      <w:r w:rsidR="00D350F8" w:rsidRPr="00802BB2">
        <w:rPr>
          <w:rFonts w:cstheme="minorHAnsi"/>
        </w:rPr>
        <w:t>.</w:t>
      </w:r>
      <w:r w:rsidR="004F22BD" w:rsidRPr="00802BB2">
        <w:rPr>
          <w:rFonts w:cstheme="minorHAnsi"/>
        </w:rPr>
        <w:t xml:space="preserve"> </w:t>
      </w:r>
    </w:p>
    <w:p w14:paraId="3A63CBA9" w14:textId="35E5C4D9" w:rsidR="00892E43" w:rsidRPr="00802BB2" w:rsidRDefault="003D6C9C" w:rsidP="00DB367C">
      <w:pPr>
        <w:pStyle w:val="Prrafodelista"/>
        <w:numPr>
          <w:ilvl w:val="0"/>
          <w:numId w:val="16"/>
        </w:numPr>
        <w:shd w:val="clear" w:color="auto" w:fill="DEEAF6" w:themeFill="accent5" w:themeFillTint="33"/>
        <w:spacing w:before="240"/>
        <w:contextualSpacing w:val="0"/>
        <w:jc w:val="both"/>
        <w:rPr>
          <w:b/>
          <w:bCs/>
        </w:rPr>
      </w:pPr>
      <w:r w:rsidRPr="00802BB2">
        <w:rPr>
          <w:b/>
          <w:bCs/>
        </w:rPr>
        <w:t>Dimensiones para el</w:t>
      </w:r>
      <w:r w:rsidR="00D04BF5" w:rsidRPr="00802BB2">
        <w:rPr>
          <w:b/>
          <w:bCs/>
        </w:rPr>
        <w:t xml:space="preserve"> Acceso a la Justicia de las Personas con discapacidad</w:t>
      </w:r>
    </w:p>
    <w:p w14:paraId="699523B3" w14:textId="4ABD9392" w:rsidR="004408FD" w:rsidRPr="00802BB2" w:rsidRDefault="004408FD" w:rsidP="004F22BD">
      <w:pPr>
        <w:pStyle w:val="Prrafodelista"/>
        <w:spacing w:before="240"/>
        <w:ind w:firstLine="709"/>
        <w:contextualSpacing w:val="0"/>
        <w:jc w:val="both"/>
        <w:rPr>
          <w:b/>
          <w:bCs/>
        </w:rPr>
      </w:pPr>
      <w:r w:rsidRPr="00802BB2">
        <w:rPr>
          <w:bCs/>
        </w:rPr>
        <w:t xml:space="preserve">Existe una diversidad de ámbitos </w:t>
      </w:r>
      <w:r w:rsidR="00892E43" w:rsidRPr="00802BB2">
        <w:rPr>
          <w:bCs/>
        </w:rPr>
        <w:t xml:space="preserve">relacionados con el </w:t>
      </w:r>
      <w:r w:rsidR="009A5B98" w:rsidRPr="00802BB2">
        <w:rPr>
          <w:bCs/>
        </w:rPr>
        <w:t>acceso</w:t>
      </w:r>
      <w:r w:rsidR="00364AC4" w:rsidRPr="00802BB2">
        <w:rPr>
          <w:bCs/>
        </w:rPr>
        <w:t xml:space="preserve"> a la J</w:t>
      </w:r>
      <w:r w:rsidRPr="00802BB2">
        <w:rPr>
          <w:bCs/>
        </w:rPr>
        <w:t>usticia de</w:t>
      </w:r>
      <w:r w:rsidR="00364AC4" w:rsidRPr="00802BB2">
        <w:rPr>
          <w:bCs/>
        </w:rPr>
        <w:t xml:space="preserve"> las</w:t>
      </w:r>
      <w:r w:rsidRPr="00802BB2">
        <w:rPr>
          <w:bCs/>
        </w:rPr>
        <w:t xml:space="preserve"> personas con discapacidad: </w:t>
      </w:r>
    </w:p>
    <w:p w14:paraId="2188BFBB" w14:textId="04236225" w:rsidR="003D6C9C" w:rsidRPr="00802BB2" w:rsidRDefault="003D6C9C" w:rsidP="004F22BD">
      <w:pPr>
        <w:pStyle w:val="Prrafodelista"/>
        <w:numPr>
          <w:ilvl w:val="0"/>
          <w:numId w:val="2"/>
        </w:numPr>
        <w:spacing w:before="240"/>
        <w:ind w:left="357" w:firstLine="357"/>
        <w:contextualSpacing w:val="0"/>
        <w:jc w:val="both"/>
      </w:pPr>
      <w:r w:rsidRPr="00802BB2">
        <w:rPr>
          <w:b/>
        </w:rPr>
        <w:t>D</w:t>
      </w:r>
      <w:r w:rsidR="005D48B9" w:rsidRPr="00802BB2">
        <w:rPr>
          <w:b/>
        </w:rPr>
        <w:t>imensiones</w:t>
      </w:r>
      <w:r w:rsidR="00D04BF5" w:rsidRPr="00802BB2">
        <w:rPr>
          <w:b/>
        </w:rPr>
        <w:t xml:space="preserve"> en los tipos de d</w:t>
      </w:r>
      <w:r w:rsidRPr="00802BB2">
        <w:rPr>
          <w:b/>
        </w:rPr>
        <w:t>iscapacidad</w:t>
      </w:r>
      <w:r w:rsidR="00EA3745" w:rsidRPr="00802BB2">
        <w:rPr>
          <w:b/>
        </w:rPr>
        <w:t>:</w:t>
      </w:r>
      <w:r w:rsidR="00B04516" w:rsidRPr="00802BB2">
        <w:t xml:space="preserve"> La C</w:t>
      </w:r>
      <w:r w:rsidR="00364AC4" w:rsidRPr="00802BB2">
        <w:t xml:space="preserve">onvención </w:t>
      </w:r>
      <w:r w:rsidR="00B04516" w:rsidRPr="00802BB2">
        <w:t xml:space="preserve">conceptualiza </w:t>
      </w:r>
      <w:r w:rsidR="008E73C0" w:rsidRPr="00802BB2">
        <w:t>a las personas con discapacidad</w:t>
      </w:r>
      <w:r w:rsidR="00892E43" w:rsidRPr="00802BB2">
        <w:t>,</w:t>
      </w:r>
      <w:r w:rsidR="008E73C0" w:rsidRPr="00802BB2">
        <w:t xml:space="preserve"> </w:t>
      </w:r>
      <w:r w:rsidR="00B04516" w:rsidRPr="00802BB2">
        <w:t>incluye</w:t>
      </w:r>
      <w:r w:rsidR="008E73C0" w:rsidRPr="00802BB2">
        <w:t>ndo</w:t>
      </w:r>
      <w:r w:rsidR="00B04516" w:rsidRPr="00802BB2">
        <w:t xml:space="preserve"> a aquellas que tengan deficiencias físicas, mentales, intelectuales o sensoriales a largo plazo que, al interactuar con diversas barreras, puedan impedir su participación plena y efectiva en la sociedad, en igualdad de condiciones con las demás</w:t>
      </w:r>
      <w:r w:rsidR="00B04516" w:rsidRPr="00802BB2">
        <w:rPr>
          <w:vertAlign w:val="superscript"/>
        </w:rPr>
        <w:footnoteReference w:id="9"/>
      </w:r>
      <w:r w:rsidR="00B04516" w:rsidRPr="00802BB2">
        <w:t xml:space="preserve"> </w:t>
      </w:r>
      <w:r w:rsidR="006475A7" w:rsidRPr="00802BB2">
        <w:t>. Es un c</w:t>
      </w:r>
      <w:r w:rsidR="00560E42" w:rsidRPr="00802BB2">
        <w:t xml:space="preserve">oncepto abierto </w:t>
      </w:r>
      <w:r w:rsidR="008E73C0" w:rsidRPr="00802BB2">
        <w:t xml:space="preserve">y </w:t>
      </w:r>
      <w:r w:rsidR="00560E42" w:rsidRPr="00802BB2">
        <w:t xml:space="preserve">que </w:t>
      </w:r>
      <w:r w:rsidR="000D185B" w:rsidRPr="00802BB2">
        <w:t>evoluciona</w:t>
      </w:r>
      <w:r w:rsidR="008E73C0" w:rsidRPr="00802BB2">
        <w:t>, lo que permite incorporar nuevas formas de discapacidad</w:t>
      </w:r>
      <w:r w:rsidR="00413E0F" w:rsidRPr="00802BB2">
        <w:t xml:space="preserve"> que puedan surgir</w:t>
      </w:r>
      <w:r w:rsidR="008E73C0" w:rsidRPr="00802BB2">
        <w:t>.</w:t>
      </w:r>
    </w:p>
    <w:p w14:paraId="48594641" w14:textId="66AE281F" w:rsidR="008E73C0" w:rsidRPr="00802BB2" w:rsidRDefault="003D6C9C" w:rsidP="004F22BD">
      <w:pPr>
        <w:pStyle w:val="Prrafodelista"/>
        <w:numPr>
          <w:ilvl w:val="0"/>
          <w:numId w:val="2"/>
        </w:numPr>
        <w:spacing w:before="240"/>
        <w:ind w:left="357" w:firstLine="357"/>
        <w:contextualSpacing w:val="0"/>
        <w:jc w:val="both"/>
      </w:pPr>
      <w:r w:rsidRPr="00802BB2">
        <w:rPr>
          <w:b/>
        </w:rPr>
        <w:t>Di</w:t>
      </w:r>
      <w:r w:rsidR="005D48B9" w:rsidRPr="00802BB2">
        <w:rPr>
          <w:b/>
        </w:rPr>
        <w:t xml:space="preserve">mensiones </w:t>
      </w:r>
      <w:r w:rsidRPr="00802BB2">
        <w:rPr>
          <w:b/>
        </w:rPr>
        <w:t>en los tipos de procedimiento</w:t>
      </w:r>
      <w:r w:rsidR="00F4772C" w:rsidRPr="00802BB2">
        <w:t>.</w:t>
      </w:r>
      <w:r w:rsidR="00364AC4" w:rsidRPr="00802BB2">
        <w:t xml:space="preserve"> El Acceso a la Justicia se</w:t>
      </w:r>
      <w:r w:rsidR="00F4772C" w:rsidRPr="00802BB2">
        <w:t xml:space="preserve"> </w:t>
      </w:r>
      <w:r w:rsidR="00364AC4" w:rsidRPr="00802BB2">
        <w:t>extiende</w:t>
      </w:r>
      <w:r w:rsidR="00522B8A" w:rsidRPr="00802BB2">
        <w:t xml:space="preserve"> a todo procedimiento contemplado en las legislaciones nacionales</w:t>
      </w:r>
      <w:r w:rsidR="00241DC8" w:rsidRPr="00802BB2">
        <w:t xml:space="preserve">: </w:t>
      </w:r>
      <w:r w:rsidR="00892E43" w:rsidRPr="00802BB2">
        <w:t>civil, pen</w:t>
      </w:r>
      <w:r w:rsidR="00522B8A" w:rsidRPr="00802BB2">
        <w:t>al, familia, comerciales, tributarios, laborales, aduaneros, administrativos, arbitrales y de mediación, entre otros. Asimismo, en diversos tipos de tribunales, partiendo desde la base de la pirámide jurisdiccional</w:t>
      </w:r>
      <w:r w:rsidR="008E73C0" w:rsidRPr="00802BB2">
        <w:t xml:space="preserve"> y</w:t>
      </w:r>
      <w:r w:rsidR="00522B8A" w:rsidRPr="00802BB2">
        <w:t xml:space="preserve"> llegando a las más altas Cortes</w:t>
      </w:r>
      <w:r w:rsidR="008D4E7C" w:rsidRPr="00802BB2">
        <w:t>.</w:t>
      </w:r>
    </w:p>
    <w:p w14:paraId="0FC0222E" w14:textId="778EBAB4" w:rsidR="0049532F" w:rsidRPr="00802BB2" w:rsidRDefault="0049532F" w:rsidP="004F22BD">
      <w:pPr>
        <w:pStyle w:val="Prrafodelista"/>
        <w:numPr>
          <w:ilvl w:val="0"/>
          <w:numId w:val="2"/>
        </w:numPr>
        <w:spacing w:before="240"/>
        <w:ind w:left="357" w:firstLine="357"/>
        <w:contextualSpacing w:val="0"/>
        <w:jc w:val="both"/>
      </w:pPr>
      <w:r w:rsidRPr="00802BB2">
        <w:rPr>
          <w:b/>
        </w:rPr>
        <w:t>Di</w:t>
      </w:r>
      <w:r w:rsidR="005D48B9" w:rsidRPr="00802BB2">
        <w:rPr>
          <w:b/>
        </w:rPr>
        <w:t>mensiones</w:t>
      </w:r>
      <w:r w:rsidRPr="00802BB2">
        <w:rPr>
          <w:b/>
        </w:rPr>
        <w:t xml:space="preserve"> en los roles procesales</w:t>
      </w:r>
      <w:r w:rsidR="00840E67" w:rsidRPr="00802BB2">
        <w:rPr>
          <w:b/>
        </w:rPr>
        <w:t>:</w:t>
      </w:r>
      <w:r w:rsidR="00F4772C" w:rsidRPr="00802BB2">
        <w:t xml:space="preserve"> </w:t>
      </w:r>
      <w:r w:rsidR="00840E67" w:rsidRPr="00802BB2">
        <w:t xml:space="preserve">Se </w:t>
      </w:r>
      <w:r w:rsidR="00106E58" w:rsidRPr="00802BB2">
        <w:t>busca</w:t>
      </w:r>
      <w:r w:rsidR="00840E67" w:rsidRPr="00802BB2">
        <w:t xml:space="preserve"> enfatizar la participación más amplia que una persona pueda desarrollar en un proceso, sea directa o indirecta; demandante, demandado, querellante, querellado, denunciante, denunciado, apelante, apelado, recurrente, recurrido, solicitante, peticionario, coadyuvante, tercerista o testigo, entre otros.</w:t>
      </w:r>
    </w:p>
    <w:p w14:paraId="321CA3AE" w14:textId="15E69AF2" w:rsidR="0049532F" w:rsidRPr="00802BB2" w:rsidRDefault="0049532F" w:rsidP="004F22BD">
      <w:pPr>
        <w:pStyle w:val="Prrafodelista"/>
        <w:numPr>
          <w:ilvl w:val="0"/>
          <w:numId w:val="2"/>
        </w:numPr>
        <w:spacing w:before="240"/>
        <w:ind w:left="357" w:firstLine="357"/>
        <w:contextualSpacing w:val="0"/>
        <w:jc w:val="both"/>
      </w:pPr>
      <w:r w:rsidRPr="00802BB2">
        <w:rPr>
          <w:b/>
        </w:rPr>
        <w:t>Di</w:t>
      </w:r>
      <w:r w:rsidR="005D48B9" w:rsidRPr="00802BB2">
        <w:rPr>
          <w:b/>
        </w:rPr>
        <w:t>mensiones</w:t>
      </w:r>
      <w:r w:rsidRPr="00802BB2">
        <w:rPr>
          <w:b/>
        </w:rPr>
        <w:t xml:space="preserve"> en las etapas procesales</w:t>
      </w:r>
      <w:r w:rsidR="008D4E7C" w:rsidRPr="00802BB2">
        <w:rPr>
          <w:b/>
        </w:rPr>
        <w:t>:</w:t>
      </w:r>
      <w:r w:rsidR="00364AC4" w:rsidRPr="00802BB2">
        <w:t xml:space="preserve"> Se incluyen t</w:t>
      </w:r>
      <w:r w:rsidR="0031342E" w:rsidRPr="00802BB2">
        <w:t xml:space="preserve">odas las </w:t>
      </w:r>
      <w:r w:rsidR="008D4E7C" w:rsidRPr="00802BB2">
        <w:t>fase</w:t>
      </w:r>
      <w:r w:rsidR="0031342E" w:rsidRPr="00802BB2">
        <w:t xml:space="preserve">s del proceso </w:t>
      </w:r>
      <w:r w:rsidR="00364AC4" w:rsidRPr="00802BB2">
        <w:t xml:space="preserve">considerando </w:t>
      </w:r>
      <w:r w:rsidR="0031342E" w:rsidRPr="00802BB2">
        <w:t xml:space="preserve">etapas preliminares, de investigación, </w:t>
      </w:r>
      <w:r w:rsidR="008D4E7C" w:rsidRPr="00802BB2">
        <w:t xml:space="preserve">desarrollo del procedimiento, incluido el plazo probatorio, la sentencia y su ejecución. </w:t>
      </w:r>
    </w:p>
    <w:p w14:paraId="45336AA5" w14:textId="1CE05C5E" w:rsidR="0049532F" w:rsidRPr="00802BB2" w:rsidRDefault="00D04BF5" w:rsidP="004F22BD">
      <w:pPr>
        <w:pStyle w:val="Prrafodelista"/>
        <w:numPr>
          <w:ilvl w:val="0"/>
          <w:numId w:val="2"/>
        </w:numPr>
        <w:spacing w:before="240"/>
        <w:ind w:left="357" w:firstLine="357"/>
        <w:contextualSpacing w:val="0"/>
        <w:jc w:val="both"/>
      </w:pPr>
      <w:r w:rsidRPr="00802BB2">
        <w:rPr>
          <w:b/>
        </w:rPr>
        <w:t>Dimensiones de la a</w:t>
      </w:r>
      <w:r w:rsidR="00A519A6" w:rsidRPr="00802BB2">
        <w:rPr>
          <w:b/>
        </w:rPr>
        <w:t>ccesibilidad</w:t>
      </w:r>
      <w:r w:rsidR="00840E67" w:rsidRPr="00802BB2">
        <w:t>:</w:t>
      </w:r>
      <w:r w:rsidR="00A519A6" w:rsidRPr="00802BB2">
        <w:t xml:space="preserve"> </w:t>
      </w:r>
      <w:r w:rsidR="00364AC4" w:rsidRPr="00802BB2">
        <w:t>Esto significa el a</w:t>
      </w:r>
      <w:r w:rsidR="00840E67" w:rsidRPr="00802BB2">
        <w:t>cceso a la infraestructura de la</w:t>
      </w:r>
      <w:r w:rsidR="0049532F" w:rsidRPr="00802BB2">
        <w:t xml:space="preserve"> administración de justicia</w:t>
      </w:r>
      <w:r w:rsidR="00840E67" w:rsidRPr="00802BB2">
        <w:t xml:space="preserve">: Tribunales </w:t>
      </w:r>
      <w:r w:rsidR="0031342E" w:rsidRPr="00802BB2">
        <w:t>y Cortes, oficinas de administración, recepciones</w:t>
      </w:r>
      <w:r w:rsidR="00820D68" w:rsidRPr="00802BB2">
        <w:t>,</w:t>
      </w:r>
      <w:r w:rsidR="0031342E" w:rsidRPr="00802BB2">
        <w:t xml:space="preserve"> </w:t>
      </w:r>
      <w:r w:rsidR="00820D68" w:rsidRPr="00802BB2">
        <w:t xml:space="preserve">salas de </w:t>
      </w:r>
      <w:r w:rsidR="0031342E" w:rsidRPr="00802BB2">
        <w:t xml:space="preserve">audiencias y estrados, </w:t>
      </w:r>
      <w:r w:rsidR="00820D68" w:rsidRPr="00802BB2">
        <w:t xml:space="preserve">salas de estar, </w:t>
      </w:r>
      <w:r w:rsidR="0031342E" w:rsidRPr="00802BB2">
        <w:t>ascensores,</w:t>
      </w:r>
      <w:r w:rsidR="00A519A6" w:rsidRPr="00802BB2">
        <w:t xml:space="preserve"> </w:t>
      </w:r>
      <w:r w:rsidR="00840E67" w:rsidRPr="00802BB2">
        <w:t xml:space="preserve">baños, entre otros. </w:t>
      </w:r>
      <w:r w:rsidR="00364AC4" w:rsidRPr="00802BB2">
        <w:t>Se suma el a</w:t>
      </w:r>
      <w:r w:rsidR="00840E67" w:rsidRPr="00802BB2">
        <w:t xml:space="preserve">cceso a la </w:t>
      </w:r>
      <w:r w:rsidR="00A519A6" w:rsidRPr="00802BB2">
        <w:t>información,</w:t>
      </w:r>
      <w:r w:rsidR="00364AC4" w:rsidRPr="00802BB2">
        <w:t xml:space="preserve"> a la</w:t>
      </w:r>
      <w:r w:rsidR="00A519A6" w:rsidRPr="00802BB2">
        <w:t xml:space="preserve"> comunicación</w:t>
      </w:r>
      <w:r w:rsidR="00840E67" w:rsidRPr="00802BB2">
        <w:t>,</w:t>
      </w:r>
      <w:r w:rsidR="00A519A6" w:rsidRPr="00802BB2">
        <w:t xml:space="preserve"> </w:t>
      </w:r>
      <w:r w:rsidR="00364AC4" w:rsidRPr="00802BB2">
        <w:t xml:space="preserve">la </w:t>
      </w:r>
      <w:r w:rsidR="00A519A6" w:rsidRPr="00802BB2">
        <w:t>tecnología</w:t>
      </w:r>
      <w:r w:rsidR="00840E67" w:rsidRPr="00802BB2">
        <w:t xml:space="preserve"> y</w:t>
      </w:r>
      <w:r w:rsidR="00E20A30" w:rsidRPr="00802BB2">
        <w:t xml:space="preserve"> </w:t>
      </w:r>
      <w:r w:rsidR="003E677D" w:rsidRPr="00802BB2">
        <w:t xml:space="preserve">al </w:t>
      </w:r>
      <w:r w:rsidR="00E20A30" w:rsidRPr="00802BB2">
        <w:t>transporte</w:t>
      </w:r>
      <w:r w:rsidR="000D185B" w:rsidRPr="00802BB2">
        <w:t>.</w:t>
      </w:r>
      <w:r w:rsidR="00783915" w:rsidRPr="00802BB2">
        <w:t xml:space="preserve"> </w:t>
      </w:r>
      <w:r w:rsidR="009F1F2B" w:rsidRPr="00802BB2">
        <w:t>También debe considerarse la dimensión de la accesibilidad cognitiva.</w:t>
      </w:r>
      <w:r w:rsidR="009F1F2B" w:rsidRPr="00802BB2">
        <w:rPr>
          <w:rStyle w:val="Refdenotaalpie"/>
        </w:rPr>
        <w:footnoteReference w:id="10"/>
      </w:r>
    </w:p>
    <w:p w14:paraId="5E90BBE2" w14:textId="455925CD" w:rsidR="007963A2" w:rsidRPr="00802BB2" w:rsidRDefault="0049532F" w:rsidP="004F22BD">
      <w:pPr>
        <w:pStyle w:val="Prrafodelista"/>
        <w:numPr>
          <w:ilvl w:val="0"/>
          <w:numId w:val="2"/>
        </w:numPr>
        <w:spacing w:before="240"/>
        <w:ind w:left="357" w:firstLine="357"/>
        <w:contextualSpacing w:val="0"/>
        <w:jc w:val="both"/>
      </w:pPr>
      <w:r w:rsidRPr="00802BB2">
        <w:rPr>
          <w:b/>
        </w:rPr>
        <w:t>Di</w:t>
      </w:r>
      <w:r w:rsidR="005D48B9" w:rsidRPr="00802BB2">
        <w:rPr>
          <w:b/>
        </w:rPr>
        <w:t xml:space="preserve">mensiones </w:t>
      </w:r>
      <w:r w:rsidR="00106E58" w:rsidRPr="00802BB2">
        <w:rPr>
          <w:b/>
        </w:rPr>
        <w:t xml:space="preserve">en el ámbito </w:t>
      </w:r>
      <w:r w:rsidRPr="00802BB2">
        <w:rPr>
          <w:b/>
        </w:rPr>
        <w:t>de l</w:t>
      </w:r>
      <w:r w:rsidR="00F43ED6" w:rsidRPr="00802BB2">
        <w:rPr>
          <w:b/>
        </w:rPr>
        <w:t>as funcionarias y los</w:t>
      </w:r>
      <w:r w:rsidRPr="00802BB2">
        <w:rPr>
          <w:b/>
        </w:rPr>
        <w:t xml:space="preserve"> funcionarios de la administración de justicia</w:t>
      </w:r>
      <w:r w:rsidR="00A519A6" w:rsidRPr="00802BB2">
        <w:t>.</w:t>
      </w:r>
      <w:r w:rsidR="00364AC4" w:rsidRPr="00802BB2">
        <w:t xml:space="preserve"> El Acceso a </w:t>
      </w:r>
      <w:r w:rsidR="00820D68" w:rsidRPr="00802BB2">
        <w:t>l</w:t>
      </w:r>
      <w:r w:rsidR="00364AC4" w:rsidRPr="00802BB2">
        <w:t>a Justicia involucra a tod</w:t>
      </w:r>
      <w:r w:rsidR="00F43ED6" w:rsidRPr="00802BB2">
        <w:t xml:space="preserve">as las funcionarias y funcionarios </w:t>
      </w:r>
      <w:r w:rsidR="00364AC4" w:rsidRPr="00802BB2">
        <w:t xml:space="preserve">del sistema judicial. Esto es, </w:t>
      </w:r>
      <w:r w:rsidR="008D4E7C" w:rsidRPr="00802BB2">
        <w:t>Magistraturas</w:t>
      </w:r>
      <w:r w:rsidR="00A519A6" w:rsidRPr="00802BB2">
        <w:t xml:space="preserve"> de Cortes, Juezas </w:t>
      </w:r>
      <w:r w:rsidR="00B22B1C" w:rsidRPr="00802BB2">
        <w:t xml:space="preserve">y Jueces </w:t>
      </w:r>
      <w:r w:rsidR="00A519A6" w:rsidRPr="00802BB2">
        <w:t>de Tribunales, Secretari</w:t>
      </w:r>
      <w:r w:rsidR="00FB6121" w:rsidRPr="00802BB2">
        <w:t>a</w:t>
      </w:r>
      <w:r w:rsidR="00A519A6" w:rsidRPr="00802BB2">
        <w:t>s y Secretari</w:t>
      </w:r>
      <w:r w:rsidR="00FB6121" w:rsidRPr="00802BB2">
        <w:t>o</w:t>
      </w:r>
      <w:r w:rsidR="00A519A6" w:rsidRPr="00802BB2">
        <w:t>s, Oficiales, Receptor</w:t>
      </w:r>
      <w:r w:rsidR="00270CD8" w:rsidRPr="00802BB2">
        <w:t>a</w:t>
      </w:r>
      <w:r w:rsidR="00A519A6" w:rsidRPr="00802BB2">
        <w:t>s</w:t>
      </w:r>
      <w:r w:rsidR="00217163" w:rsidRPr="00802BB2">
        <w:t>, Recept</w:t>
      </w:r>
      <w:r w:rsidR="006539A1" w:rsidRPr="00802BB2">
        <w:t xml:space="preserve">ores, </w:t>
      </w:r>
      <w:r w:rsidR="00A519A6" w:rsidRPr="00802BB2">
        <w:t>Judiciales</w:t>
      </w:r>
      <w:r w:rsidR="00106F8E" w:rsidRPr="00802BB2">
        <w:t xml:space="preserve">, </w:t>
      </w:r>
      <w:r w:rsidR="00936249" w:rsidRPr="00802BB2">
        <w:t>Relator</w:t>
      </w:r>
      <w:r w:rsidR="00FB6121" w:rsidRPr="00802BB2">
        <w:t>a, Relatora</w:t>
      </w:r>
      <w:r w:rsidR="00936249" w:rsidRPr="00802BB2">
        <w:t>s</w:t>
      </w:r>
      <w:r w:rsidR="00106F8E" w:rsidRPr="00802BB2">
        <w:t>,</w:t>
      </w:r>
      <w:r w:rsidR="00DD6BEE" w:rsidRPr="00802BB2">
        <w:t xml:space="preserve"> Fiscales, Defensor</w:t>
      </w:r>
      <w:r w:rsidR="00FB6121" w:rsidRPr="00802BB2">
        <w:t>as, De</w:t>
      </w:r>
      <w:r w:rsidR="00F565DF" w:rsidRPr="00802BB2">
        <w:t>fensores</w:t>
      </w:r>
      <w:r w:rsidR="00DD6BEE" w:rsidRPr="00802BB2">
        <w:t>, Notari</w:t>
      </w:r>
      <w:r w:rsidR="00F565DF" w:rsidRPr="00802BB2">
        <w:t>a</w:t>
      </w:r>
      <w:r w:rsidR="00217163" w:rsidRPr="00802BB2">
        <w:t>s</w:t>
      </w:r>
      <w:r w:rsidR="00DD6BEE" w:rsidRPr="00802BB2">
        <w:t>,</w:t>
      </w:r>
      <w:r w:rsidR="00106F8E" w:rsidRPr="00802BB2">
        <w:t xml:space="preserve"> </w:t>
      </w:r>
      <w:r w:rsidR="00F565DF" w:rsidRPr="00802BB2">
        <w:t>No</w:t>
      </w:r>
      <w:r w:rsidR="00E762CC" w:rsidRPr="00802BB2">
        <w:t xml:space="preserve">tarios, </w:t>
      </w:r>
      <w:r w:rsidR="00106F8E" w:rsidRPr="00802BB2">
        <w:t>abogad</w:t>
      </w:r>
      <w:r w:rsidR="00F43ED6" w:rsidRPr="00802BB2">
        <w:t>as y abogad</w:t>
      </w:r>
      <w:r w:rsidR="00106F8E" w:rsidRPr="00802BB2">
        <w:t>os litigantes</w:t>
      </w:r>
      <w:r w:rsidR="006539A1" w:rsidRPr="00802BB2">
        <w:t xml:space="preserve">, </w:t>
      </w:r>
      <w:r w:rsidR="00807B5F" w:rsidRPr="00802BB2">
        <w:t>demás</w:t>
      </w:r>
      <w:r w:rsidR="00F43ED6" w:rsidRPr="00802BB2">
        <w:t xml:space="preserve"> funcionarias,</w:t>
      </w:r>
      <w:r w:rsidR="00807B5F" w:rsidRPr="00802BB2">
        <w:t xml:space="preserve"> funcionarios y auxiliares del sistema de justicia en general</w:t>
      </w:r>
      <w:r w:rsidR="00DD6BEE" w:rsidRPr="00802BB2">
        <w:t xml:space="preserve">. </w:t>
      </w:r>
    </w:p>
    <w:p w14:paraId="31D2B994" w14:textId="327B63EA" w:rsidR="00DA3F54" w:rsidRPr="00802BB2" w:rsidRDefault="0049532F" w:rsidP="004F22BD">
      <w:pPr>
        <w:pStyle w:val="Prrafodelista"/>
        <w:numPr>
          <w:ilvl w:val="0"/>
          <w:numId w:val="2"/>
        </w:numPr>
        <w:spacing w:before="240"/>
        <w:ind w:left="357" w:firstLine="357"/>
        <w:contextualSpacing w:val="0"/>
        <w:jc w:val="both"/>
      </w:pPr>
      <w:r w:rsidRPr="00802BB2">
        <w:rPr>
          <w:b/>
        </w:rPr>
        <w:t>Di</w:t>
      </w:r>
      <w:r w:rsidR="005D48B9" w:rsidRPr="00802BB2">
        <w:rPr>
          <w:b/>
        </w:rPr>
        <w:t>mensión sobre la toma de conciencia:</w:t>
      </w:r>
      <w:r w:rsidR="00364AC4" w:rsidRPr="00802BB2">
        <w:t xml:space="preserve"> Se deben eliminar</w:t>
      </w:r>
      <w:r w:rsidR="00B04516" w:rsidRPr="00802BB2">
        <w:t xml:space="preserve"> barreras</w:t>
      </w:r>
      <w:r w:rsidR="00364AC4" w:rsidRPr="00802BB2">
        <w:t xml:space="preserve"> de índole</w:t>
      </w:r>
      <w:r w:rsidR="00E25396" w:rsidRPr="00802BB2">
        <w:t xml:space="preserve"> </w:t>
      </w:r>
      <w:r w:rsidR="00364AC4" w:rsidRPr="00802BB2">
        <w:t>física</w:t>
      </w:r>
      <w:r w:rsidR="00517843" w:rsidRPr="00802BB2">
        <w:t>/arquitectónica</w:t>
      </w:r>
      <w:r w:rsidR="00364AC4" w:rsidRPr="00802BB2">
        <w:t>,</w:t>
      </w:r>
      <w:r w:rsidR="00BA7195" w:rsidRPr="00802BB2">
        <w:t xml:space="preserve"> al transporte,</w:t>
      </w:r>
      <w:r w:rsidR="00364AC4" w:rsidRPr="00802BB2">
        <w:t xml:space="preserve"> </w:t>
      </w:r>
      <w:r w:rsidR="004D4FAF" w:rsidRPr="00802BB2">
        <w:t>la información, comunicaciones, y tecnologías</w:t>
      </w:r>
      <w:r w:rsidR="0036172B" w:rsidRPr="00802BB2">
        <w:t>,</w:t>
      </w:r>
      <w:r w:rsidR="004D4FAF" w:rsidRPr="00802BB2">
        <w:t xml:space="preserve"> </w:t>
      </w:r>
      <w:r w:rsidR="00E25396" w:rsidRPr="00802BB2">
        <w:t xml:space="preserve">así como también las barreras </w:t>
      </w:r>
      <w:r w:rsidR="00364AC4" w:rsidRPr="00802BB2">
        <w:t>cultural</w:t>
      </w:r>
      <w:r w:rsidR="0036172B" w:rsidRPr="00802BB2">
        <w:t>es</w:t>
      </w:r>
      <w:r w:rsidR="00364AC4" w:rsidRPr="00802BB2">
        <w:t>, actitudinal</w:t>
      </w:r>
      <w:r w:rsidR="00E25396" w:rsidRPr="00802BB2">
        <w:t>es</w:t>
      </w:r>
      <w:r w:rsidR="00BA7195" w:rsidRPr="00802BB2">
        <w:t xml:space="preserve"> y </w:t>
      </w:r>
      <w:r w:rsidR="00A75A04" w:rsidRPr="00802BB2">
        <w:t>legal</w:t>
      </w:r>
      <w:r w:rsidR="00BA7195" w:rsidRPr="00802BB2">
        <w:t xml:space="preserve">es </w:t>
      </w:r>
      <w:r w:rsidR="000B0CD6" w:rsidRPr="00802BB2">
        <w:t xml:space="preserve">creando medidas </w:t>
      </w:r>
      <w:r w:rsidR="00820D68" w:rsidRPr="00802BB2">
        <w:t xml:space="preserve">de acción afirmativa y/o </w:t>
      </w:r>
      <w:r w:rsidR="000B0CD6" w:rsidRPr="00802BB2">
        <w:t xml:space="preserve">condiciones </w:t>
      </w:r>
      <w:r w:rsidR="005D48B9" w:rsidRPr="00802BB2">
        <w:t>para la</w:t>
      </w:r>
      <w:r w:rsidR="000B0CD6" w:rsidRPr="00802BB2">
        <w:t xml:space="preserve"> equiparación de oportunidades, p</w:t>
      </w:r>
      <w:r w:rsidR="005D48B9" w:rsidRPr="00802BB2">
        <w:t>ara el efectivo rol de</w:t>
      </w:r>
      <w:r w:rsidR="000B0CD6" w:rsidRPr="00802BB2">
        <w:t xml:space="preserve"> todas las personas con discapacidad </w:t>
      </w:r>
      <w:r w:rsidR="00517843" w:rsidRPr="00802BB2">
        <w:t>en su A</w:t>
      </w:r>
      <w:r w:rsidR="005D48B9" w:rsidRPr="00802BB2">
        <w:t xml:space="preserve">cceso a la </w:t>
      </w:r>
      <w:r w:rsidR="00517843" w:rsidRPr="00802BB2">
        <w:t>J</w:t>
      </w:r>
      <w:r w:rsidR="005D48B9" w:rsidRPr="00802BB2">
        <w:t>usticia.</w:t>
      </w:r>
    </w:p>
    <w:p w14:paraId="054A984E" w14:textId="51A50B0D" w:rsidR="001B7D41" w:rsidRPr="00802BB2" w:rsidRDefault="00D50249" w:rsidP="00DB367C">
      <w:pPr>
        <w:pStyle w:val="Prrafodelista"/>
        <w:numPr>
          <w:ilvl w:val="0"/>
          <w:numId w:val="16"/>
        </w:numPr>
        <w:shd w:val="clear" w:color="auto" w:fill="DEEAF6" w:themeFill="accent5" w:themeFillTint="33"/>
        <w:spacing w:before="240"/>
        <w:jc w:val="both"/>
        <w:rPr>
          <w:b/>
          <w:bCs/>
        </w:rPr>
      </w:pPr>
      <w:r w:rsidRPr="00802BB2">
        <w:rPr>
          <w:b/>
          <w:bCs/>
        </w:rPr>
        <w:t>Recomendaciones</w:t>
      </w:r>
      <w:r w:rsidR="00A557B7" w:rsidRPr="00802BB2">
        <w:rPr>
          <w:b/>
          <w:bCs/>
        </w:rPr>
        <w:t xml:space="preserve"> Generales</w:t>
      </w:r>
      <w:r w:rsidR="001658BD" w:rsidRPr="00802BB2">
        <w:rPr>
          <w:b/>
          <w:bCs/>
        </w:rPr>
        <w:t xml:space="preserve"> </w:t>
      </w:r>
      <w:r w:rsidR="00D04BF5" w:rsidRPr="00802BB2">
        <w:rPr>
          <w:b/>
          <w:bCs/>
        </w:rPr>
        <w:t>Prácticas</w:t>
      </w:r>
      <w:r w:rsidR="007963A2" w:rsidRPr="00802BB2">
        <w:rPr>
          <w:b/>
          <w:bCs/>
        </w:rPr>
        <w:t xml:space="preserve"> </w:t>
      </w:r>
      <w:r w:rsidR="00D04BF5" w:rsidRPr="00802BB2">
        <w:rPr>
          <w:b/>
          <w:bCs/>
        </w:rPr>
        <w:t>para el efectivo Acceso a la Justicia de las Personas con Discapacidad</w:t>
      </w:r>
    </w:p>
    <w:p w14:paraId="6F4AA3F8" w14:textId="77777777" w:rsidR="00D57F2E" w:rsidRPr="00802BB2" w:rsidRDefault="00D57F2E" w:rsidP="00CF63B9">
      <w:pPr>
        <w:pStyle w:val="Prrafodelista"/>
        <w:spacing w:before="240"/>
        <w:jc w:val="both"/>
      </w:pPr>
    </w:p>
    <w:p w14:paraId="766BEE47" w14:textId="486AB210" w:rsidR="00364256" w:rsidRPr="00802BB2" w:rsidRDefault="00364256" w:rsidP="00CF63B9">
      <w:pPr>
        <w:pStyle w:val="Prrafodelista"/>
        <w:spacing w:before="240"/>
        <w:jc w:val="both"/>
      </w:pPr>
      <w:r w:rsidRPr="00802BB2">
        <w:t xml:space="preserve">Las funcionarias y los funcionarios de las cortes y tribunales </w:t>
      </w:r>
      <w:r w:rsidR="008E2252" w:rsidRPr="00802BB2">
        <w:t>asumirán</w:t>
      </w:r>
      <w:r w:rsidRPr="00802BB2">
        <w:t xml:space="preserve"> un rol activo para garantizar el acceso a la justicia de las personas con discapacidad, </w:t>
      </w:r>
      <w:r w:rsidR="008925E0" w:rsidRPr="00802BB2">
        <w:t xml:space="preserve">por este motivo deberán: </w:t>
      </w:r>
    </w:p>
    <w:p w14:paraId="1939EBBD" w14:textId="58F95290" w:rsidR="00364256" w:rsidRPr="00802BB2" w:rsidRDefault="00364256" w:rsidP="00CF63B9">
      <w:pPr>
        <w:pStyle w:val="Prrafodelista"/>
        <w:numPr>
          <w:ilvl w:val="0"/>
          <w:numId w:val="21"/>
        </w:numPr>
        <w:spacing w:before="240"/>
        <w:contextualSpacing w:val="0"/>
        <w:jc w:val="both"/>
        <w:rPr>
          <w:b/>
        </w:rPr>
      </w:pPr>
      <w:r w:rsidRPr="00802BB2">
        <w:rPr>
          <w:b/>
        </w:rPr>
        <w:t xml:space="preserve">Respetar la Autonomía Individual de las personas con discapacidad, incluida la libertad de tomar sus propias decisiones. </w:t>
      </w:r>
    </w:p>
    <w:p w14:paraId="56273C9D" w14:textId="68C07FE2" w:rsidR="00364256" w:rsidRPr="00802BB2" w:rsidRDefault="00364256" w:rsidP="00CF63B9">
      <w:pPr>
        <w:pStyle w:val="Prrafodelista"/>
        <w:numPr>
          <w:ilvl w:val="0"/>
          <w:numId w:val="21"/>
        </w:numPr>
        <w:spacing w:before="240"/>
        <w:contextualSpacing w:val="0"/>
        <w:jc w:val="both"/>
        <w:rPr>
          <w:b/>
        </w:rPr>
      </w:pPr>
      <w:r w:rsidRPr="00802BB2">
        <w:rPr>
          <w:b/>
        </w:rPr>
        <w:t>Reconocer a las personas con discapacidad como sujetos de derecho</w:t>
      </w:r>
      <w:r w:rsidR="00FE00F7" w:rsidRPr="00802BB2">
        <w:t>.</w:t>
      </w:r>
    </w:p>
    <w:p w14:paraId="77EADA68" w14:textId="4DFD2CDA" w:rsidR="00364256" w:rsidRPr="00802BB2" w:rsidRDefault="008925E0" w:rsidP="00CF63B9">
      <w:pPr>
        <w:pStyle w:val="Prrafodelista"/>
        <w:numPr>
          <w:ilvl w:val="0"/>
          <w:numId w:val="21"/>
        </w:numPr>
        <w:spacing w:before="240"/>
        <w:contextualSpacing w:val="0"/>
        <w:jc w:val="both"/>
        <w:rPr>
          <w:b/>
        </w:rPr>
      </w:pPr>
      <w:r w:rsidRPr="00802BB2">
        <w:rPr>
          <w:b/>
        </w:rPr>
        <w:t>Eliminar tratos paternalistas o asistencialistas,</w:t>
      </w:r>
      <w:r w:rsidRPr="00802BB2">
        <w:t xml:space="preserve"> para así lograr su participación e inclusión plena y efectiva en la sociedad.</w:t>
      </w:r>
    </w:p>
    <w:p w14:paraId="5281F0C5" w14:textId="18C494B1" w:rsidR="00261201" w:rsidRPr="00802BB2" w:rsidRDefault="008925E0" w:rsidP="00CF63B9">
      <w:pPr>
        <w:pStyle w:val="Prrafodelista"/>
        <w:numPr>
          <w:ilvl w:val="0"/>
          <w:numId w:val="21"/>
        </w:numPr>
        <w:spacing w:before="240"/>
        <w:contextualSpacing w:val="0"/>
        <w:jc w:val="both"/>
      </w:pPr>
      <w:r w:rsidRPr="00802BB2">
        <w:rPr>
          <w:b/>
        </w:rPr>
        <w:t xml:space="preserve">Garantizar la accesibilidad universal a los espacios físicos e instalaciones de las Cortes y los tribunales de justicia. </w:t>
      </w:r>
      <w:r w:rsidRPr="00802BB2">
        <w:t>Se</w:t>
      </w:r>
      <w:r w:rsidR="0018680F" w:rsidRPr="00802BB2">
        <w:t xml:space="preserve"> debe </w:t>
      </w:r>
      <w:r w:rsidR="0006538F" w:rsidRPr="00802BB2">
        <w:t>considerar</w:t>
      </w:r>
      <w:r w:rsidR="00870DDD" w:rsidRPr="00802BB2">
        <w:t>,</w:t>
      </w:r>
      <w:r w:rsidR="0006538F" w:rsidRPr="00802BB2">
        <w:t xml:space="preserve"> en el primer piso de edificios antiguos o nuevos, salas accesibles para la atención</w:t>
      </w:r>
      <w:r w:rsidR="0018680F" w:rsidRPr="00802BB2">
        <w:t xml:space="preserve"> de usuarios con discapacidad</w:t>
      </w:r>
      <w:r w:rsidR="003511D6" w:rsidRPr="00802BB2">
        <w:t xml:space="preserve">, ya sea en </w:t>
      </w:r>
      <w:r w:rsidR="0006538F" w:rsidRPr="00802BB2">
        <w:t>entrevist</w:t>
      </w:r>
      <w:r w:rsidR="0018680F" w:rsidRPr="00802BB2">
        <w:t xml:space="preserve">as, audiencias </w:t>
      </w:r>
      <w:r w:rsidR="003511D6" w:rsidRPr="00802BB2">
        <w:t>u</w:t>
      </w:r>
      <w:r w:rsidR="0018680F" w:rsidRPr="00802BB2">
        <w:t xml:space="preserve"> otras actuaciones judiciales. Se debe i</w:t>
      </w:r>
      <w:r w:rsidR="0006538F" w:rsidRPr="00802BB2">
        <w:t xml:space="preserve">ncorporar la accesibilidad en la señalética </w:t>
      </w:r>
      <w:r w:rsidR="00830220" w:rsidRPr="00802BB2">
        <w:t>en el</w:t>
      </w:r>
      <w:r w:rsidR="0006538F" w:rsidRPr="00802BB2">
        <w:t xml:space="preserve"> recinto judicial.</w:t>
      </w:r>
    </w:p>
    <w:p w14:paraId="53D87D8F" w14:textId="57B79217" w:rsidR="0006538F" w:rsidRPr="00802BB2" w:rsidRDefault="003511D6" w:rsidP="00CF63B9">
      <w:pPr>
        <w:pStyle w:val="Prrafodelista"/>
        <w:numPr>
          <w:ilvl w:val="0"/>
          <w:numId w:val="21"/>
        </w:numPr>
        <w:spacing w:before="240"/>
        <w:contextualSpacing w:val="0"/>
        <w:jc w:val="both"/>
      </w:pPr>
      <w:r w:rsidRPr="00802BB2">
        <w:rPr>
          <w:b/>
        </w:rPr>
        <w:t>Asegurar el acceso a la información y a la comunicación</w:t>
      </w:r>
      <w:r w:rsidRPr="00802BB2">
        <w:t xml:space="preserve">, </w:t>
      </w:r>
      <w:r w:rsidRPr="00802BB2">
        <w:rPr>
          <w:b/>
        </w:rPr>
        <w:t xml:space="preserve">siendo clara, precisa y oportuna, utilizando formatos accesibles como Braille, audios, </w:t>
      </w:r>
      <w:proofErr w:type="spellStart"/>
      <w:r w:rsidRPr="00802BB2">
        <w:rPr>
          <w:b/>
        </w:rPr>
        <w:t>macrotipos</w:t>
      </w:r>
      <w:proofErr w:type="spellEnd"/>
      <w:r w:rsidRPr="00802BB2">
        <w:rPr>
          <w:b/>
        </w:rPr>
        <w:t>, contrastes de color, textos en lenguaje sencillo y lectura fácil, entre otros.</w:t>
      </w:r>
      <w:r w:rsidR="0006538F" w:rsidRPr="00802BB2">
        <w:t xml:space="preserve"> Se recomienda contar con información </w:t>
      </w:r>
      <w:r w:rsidR="0018680F" w:rsidRPr="00802BB2">
        <w:t xml:space="preserve">accesible </w:t>
      </w:r>
      <w:r w:rsidR="0006538F" w:rsidRPr="00802BB2">
        <w:t xml:space="preserve">en salas de espera, explicando la forma de atención y procedimientos. </w:t>
      </w:r>
      <w:r w:rsidR="00261201" w:rsidRPr="00802BB2">
        <w:t>Por ejemplo</w:t>
      </w:r>
      <w:r w:rsidR="0018680F" w:rsidRPr="00802BB2">
        <w:t>,</w:t>
      </w:r>
      <w:r w:rsidR="00261201" w:rsidRPr="00802BB2">
        <w:t xml:space="preserve"> informa</w:t>
      </w:r>
      <w:r w:rsidRPr="00802BB2">
        <w:t>ndo</w:t>
      </w:r>
      <w:r w:rsidR="00261201" w:rsidRPr="00802BB2">
        <w:t xml:space="preserve"> a través de videos con interpretación en lengua de señas, subtítulos y descripciones audibles. </w:t>
      </w:r>
      <w:r w:rsidR="0006538F" w:rsidRPr="00802BB2">
        <w:t>La elección de formatos y medios para la información y la comunicación debe ser de libre elección para las personas con discapacidad.</w:t>
      </w:r>
      <w:r w:rsidR="00A23418" w:rsidRPr="00802BB2">
        <w:t xml:space="preserve"> </w:t>
      </w:r>
    </w:p>
    <w:p w14:paraId="367AEEAB" w14:textId="49079B37" w:rsidR="0006538F" w:rsidRPr="00802BB2" w:rsidRDefault="003511D6" w:rsidP="00CF63B9">
      <w:pPr>
        <w:pStyle w:val="Prrafodelista"/>
        <w:numPr>
          <w:ilvl w:val="0"/>
          <w:numId w:val="21"/>
        </w:numPr>
        <w:spacing w:before="240"/>
        <w:contextualSpacing w:val="0"/>
        <w:jc w:val="both"/>
      </w:pPr>
      <w:r w:rsidRPr="00802BB2">
        <w:rPr>
          <w:b/>
        </w:rPr>
        <w:t xml:space="preserve">Promover la accesibilidad digital, modernizando las tecnologías disponibles en las Cortes y tribunales de justicia.  </w:t>
      </w:r>
      <w:r w:rsidRPr="00802BB2">
        <w:t xml:space="preserve">Algunos ejemplos son: </w:t>
      </w:r>
      <w:r w:rsidR="0006538F" w:rsidRPr="00802BB2">
        <w:t>aplicaciones informáticas adaptadas al tipo de discapacidad</w:t>
      </w:r>
      <w:r w:rsidRPr="00802BB2">
        <w:t xml:space="preserve">, </w:t>
      </w:r>
      <w:r w:rsidR="0006538F" w:rsidRPr="00802BB2">
        <w:t>uso de página</w:t>
      </w:r>
      <w:r w:rsidRPr="00802BB2">
        <w:t>s</w:t>
      </w:r>
      <w:r w:rsidR="0006538F" w:rsidRPr="00802BB2">
        <w:t xml:space="preserve"> web del Poder Judicial </w:t>
      </w:r>
      <w:r w:rsidRPr="00802BB2">
        <w:t>con diferentes</w:t>
      </w:r>
      <w:r w:rsidR="0006538F" w:rsidRPr="00802BB2">
        <w:t xml:space="preserve"> opciones de accesibilidad, usos de códigos QR para información sobre espacio físico del recinto judicial, guías audiovisuales para orientación de procesos y al espacio físico del Tribunal</w:t>
      </w:r>
      <w:r w:rsidR="002852AE" w:rsidRPr="00802BB2">
        <w:t>, entre otras</w:t>
      </w:r>
      <w:r w:rsidR="0006538F" w:rsidRPr="00802BB2">
        <w:t>.</w:t>
      </w:r>
    </w:p>
    <w:p w14:paraId="5F6B4E4D" w14:textId="350F8E8A" w:rsidR="0006538F" w:rsidRPr="00802BB2" w:rsidRDefault="003511D6" w:rsidP="00CF63B9">
      <w:pPr>
        <w:pStyle w:val="Prrafodelista"/>
        <w:numPr>
          <w:ilvl w:val="0"/>
          <w:numId w:val="21"/>
        </w:numPr>
        <w:spacing w:before="240"/>
        <w:contextualSpacing w:val="0"/>
        <w:jc w:val="both"/>
      </w:pPr>
      <w:r w:rsidRPr="00802BB2">
        <w:rPr>
          <w:b/>
        </w:rPr>
        <w:t>Garantizar ajustes de procedimiento</w:t>
      </w:r>
      <w:r w:rsidR="00E70D92" w:rsidRPr="00802BB2">
        <w:rPr>
          <w:b/>
        </w:rPr>
        <w:t>.</w:t>
      </w:r>
      <w:r w:rsidRPr="00802BB2">
        <w:rPr>
          <w:b/>
        </w:rPr>
        <w:t xml:space="preserve"> </w:t>
      </w:r>
      <w:r w:rsidR="00E70D92" w:rsidRPr="00802BB2">
        <w:t>Las funcionarias y funcionarios deben otorgar a las personas con discapacidad horarios preferentes para la realización de audiencias si es solicitad</w:t>
      </w:r>
      <w:r w:rsidR="009C1704" w:rsidRPr="00802BB2">
        <w:t>o</w:t>
      </w:r>
      <w:r w:rsidR="00E70D92" w:rsidRPr="00802BB2">
        <w:t>, así como también la presencia de apoyo personal.</w:t>
      </w:r>
      <w:r w:rsidR="00E70D92" w:rsidRPr="00802BB2">
        <w:rPr>
          <w:b/>
        </w:rPr>
        <w:t xml:space="preserve"> </w:t>
      </w:r>
      <w:r w:rsidRPr="00802BB2">
        <w:rPr>
          <w:b/>
          <w:lang w:val="es-ES_tradnl"/>
        </w:rPr>
        <w:t xml:space="preserve">Es un derecho para las personas con discapacidad asistir con personas de su confianza cuando </w:t>
      </w:r>
      <w:r w:rsidR="00E70D92" w:rsidRPr="00802BB2">
        <w:rPr>
          <w:b/>
          <w:lang w:val="es-ES_tradnl"/>
        </w:rPr>
        <w:t>lo requiera</w:t>
      </w:r>
      <w:r w:rsidRPr="00802BB2">
        <w:rPr>
          <w:b/>
          <w:lang w:val="es-ES_tradnl"/>
        </w:rPr>
        <w:t>.</w:t>
      </w:r>
      <w:r w:rsidR="00E417E8" w:rsidRPr="00802BB2">
        <w:rPr>
          <w:rFonts w:eastAsia="Times New Roman" w:cstheme="minorHAnsi"/>
          <w:lang w:val="es-ES_tradnl" w:eastAsia="es-CL"/>
        </w:rPr>
        <w:t xml:space="preserve"> Por ejemplo, </w:t>
      </w:r>
      <w:r w:rsidR="00E70D92" w:rsidRPr="00802BB2">
        <w:rPr>
          <w:rFonts w:eastAsia="Times New Roman" w:cstheme="minorHAnsi"/>
          <w:lang w:val="es-ES_tradnl" w:eastAsia="es-CL"/>
        </w:rPr>
        <w:t>apoyo</w:t>
      </w:r>
      <w:r w:rsidR="00E417E8" w:rsidRPr="00802BB2">
        <w:rPr>
          <w:rFonts w:eastAsia="Times New Roman" w:cstheme="minorHAnsi"/>
          <w:lang w:val="es-ES_tradnl" w:eastAsia="es-CL"/>
        </w:rPr>
        <w:t xml:space="preserve"> emocional para las personas con discapacidad intelectual</w:t>
      </w:r>
      <w:r w:rsidR="00E70D92" w:rsidRPr="00802BB2">
        <w:rPr>
          <w:rFonts w:eastAsia="Times New Roman" w:cstheme="minorHAnsi"/>
          <w:lang w:val="es-ES_tradnl" w:eastAsia="es-CL"/>
        </w:rPr>
        <w:t>,</w:t>
      </w:r>
      <w:r w:rsidR="00E417E8" w:rsidRPr="00802BB2">
        <w:rPr>
          <w:rFonts w:eastAsia="Times New Roman" w:cstheme="minorHAnsi"/>
          <w:lang w:val="es-ES_tradnl" w:eastAsia="es-CL"/>
        </w:rPr>
        <w:t xml:space="preserve"> orientación y movilidad en el caso de las p</w:t>
      </w:r>
      <w:r w:rsidR="00261201" w:rsidRPr="00802BB2">
        <w:rPr>
          <w:rFonts w:eastAsia="Times New Roman" w:cstheme="minorHAnsi"/>
          <w:lang w:val="es-ES_tradnl" w:eastAsia="es-CL"/>
        </w:rPr>
        <w:t xml:space="preserve">ersonas </w:t>
      </w:r>
      <w:r w:rsidR="0089732E" w:rsidRPr="00802BB2">
        <w:rPr>
          <w:rFonts w:eastAsia="Times New Roman" w:cstheme="minorHAnsi"/>
          <w:lang w:val="es-ES_tradnl" w:eastAsia="es-CL"/>
        </w:rPr>
        <w:t>ciegas</w:t>
      </w:r>
      <w:r w:rsidR="00E70D92" w:rsidRPr="00802BB2">
        <w:t>,</w:t>
      </w:r>
      <w:r w:rsidR="0006538F" w:rsidRPr="00802BB2">
        <w:t xml:space="preserve"> recesos para hidratación, medicación o cualquier otra necesidad personal. </w:t>
      </w:r>
    </w:p>
    <w:p w14:paraId="1AE507DC" w14:textId="080BFD3D" w:rsidR="0006538F" w:rsidRPr="00802BB2" w:rsidRDefault="00F43ED6" w:rsidP="00CF63B9">
      <w:pPr>
        <w:pStyle w:val="Prrafodelista"/>
        <w:numPr>
          <w:ilvl w:val="0"/>
          <w:numId w:val="21"/>
        </w:numPr>
        <w:spacing w:before="240"/>
        <w:contextualSpacing w:val="0"/>
        <w:jc w:val="both"/>
        <w:rPr>
          <w:bCs/>
        </w:rPr>
      </w:pPr>
      <w:r w:rsidRPr="00802BB2">
        <w:rPr>
          <w:b/>
        </w:rPr>
        <w:t xml:space="preserve">Fomentar </w:t>
      </w:r>
      <w:r w:rsidR="00106E58" w:rsidRPr="00802BB2">
        <w:rPr>
          <w:b/>
        </w:rPr>
        <w:t>A</w:t>
      </w:r>
      <w:r w:rsidR="0006538F" w:rsidRPr="00802BB2">
        <w:rPr>
          <w:b/>
        </w:rPr>
        <w:t>poyos diversificados</w:t>
      </w:r>
      <w:r w:rsidR="00261201" w:rsidRPr="00802BB2">
        <w:rPr>
          <w:rStyle w:val="Refdenotaalpie"/>
        </w:rPr>
        <w:footnoteReference w:id="11"/>
      </w:r>
      <w:r w:rsidR="0006538F" w:rsidRPr="00802BB2">
        <w:rPr>
          <w:b/>
        </w:rPr>
        <w:t xml:space="preserve">: </w:t>
      </w:r>
      <w:r w:rsidR="00D06D7E" w:rsidRPr="00802BB2">
        <w:t xml:space="preserve">"Apoyo" es un término amplio que engloba arreglos oficiales y oficiosos, de distintos tipos e intensidades. El tipo y la intensidad del apoyo que </w:t>
      </w:r>
      <w:r w:rsidR="0018680F" w:rsidRPr="00802BB2">
        <w:t xml:space="preserve">se </w:t>
      </w:r>
      <w:r w:rsidR="00261201" w:rsidRPr="00802BB2">
        <w:t>presta</w:t>
      </w:r>
      <w:r w:rsidR="00D06D7E" w:rsidRPr="00802BB2">
        <w:t xml:space="preserve"> variará notablemente de una persona a otra debido</w:t>
      </w:r>
      <w:r w:rsidR="00241DC8" w:rsidRPr="00802BB2">
        <w:t xml:space="preserve"> </w:t>
      </w:r>
      <w:r w:rsidR="00FD4279" w:rsidRPr="00802BB2">
        <w:t>a sus diversidades.</w:t>
      </w:r>
      <w:r w:rsidR="00261201" w:rsidRPr="00802BB2">
        <w:t xml:space="preserve"> </w:t>
      </w:r>
      <w:r w:rsidR="00870DB2" w:rsidRPr="00802BB2">
        <w:t>El apoyo en el ejercicio de la capacidad jurídica debe respetar los derechos, la voluntad y las preferencias de las personas con discapacidad y nunca debe consistir en decidir por ellas</w:t>
      </w:r>
      <w:r w:rsidR="0006538F" w:rsidRPr="00802BB2">
        <w:rPr>
          <w:bCs/>
        </w:rPr>
        <w:t xml:space="preserve">. </w:t>
      </w:r>
      <w:r w:rsidR="009638A1" w:rsidRPr="00802BB2">
        <w:rPr>
          <w:bCs/>
        </w:rPr>
        <w:t xml:space="preserve">El apoyo no debe tener conflicto de intereses con la persona con discapacidad ni ejercer influencia indebida sobre ella. </w:t>
      </w:r>
      <w:r w:rsidR="00D06D7E" w:rsidRPr="00802BB2">
        <w:rPr>
          <w:bCs/>
        </w:rPr>
        <w:t xml:space="preserve">Ese apoyo puede adoptar formas diversas, como el reconocimiento de distintos métodos de comunicación, la autorización de los testimonios por vídeo en determinadas situaciones, la realización de ajustes procesales, la prestación de servicios de interpretación profesional en lengua de señas </w:t>
      </w:r>
      <w:r w:rsidR="00376FE9" w:rsidRPr="00802BB2">
        <w:rPr>
          <w:bCs/>
        </w:rPr>
        <w:t xml:space="preserve">de su país </w:t>
      </w:r>
      <w:r w:rsidR="00D06D7E" w:rsidRPr="00802BB2">
        <w:rPr>
          <w:bCs/>
        </w:rPr>
        <w:t xml:space="preserve">y otros métodos. </w:t>
      </w:r>
    </w:p>
    <w:p w14:paraId="2632AECC" w14:textId="764993E4" w:rsidR="00E70D92" w:rsidRPr="00802BB2" w:rsidRDefault="00E70D92" w:rsidP="00CF63B9">
      <w:pPr>
        <w:pStyle w:val="Prrafodelista"/>
        <w:numPr>
          <w:ilvl w:val="0"/>
          <w:numId w:val="21"/>
        </w:numPr>
        <w:spacing w:before="240"/>
        <w:contextualSpacing w:val="0"/>
        <w:jc w:val="both"/>
      </w:pPr>
      <w:r w:rsidRPr="00802BB2">
        <w:rPr>
          <w:b/>
        </w:rPr>
        <w:t>Impulsar la comunicación directa, practicando la escucha activa de las personas con discapacidad por las funcionarias y funcionarios, dirigiéndose directamente a ellas y no a su acompañante, a</w:t>
      </w:r>
      <w:r w:rsidR="00C17D60" w:rsidRPr="00802BB2">
        <w:rPr>
          <w:b/>
        </w:rPr>
        <w:t xml:space="preserve">un cuando </w:t>
      </w:r>
      <w:r w:rsidR="006475A7" w:rsidRPr="00802BB2">
        <w:rPr>
          <w:b/>
        </w:rPr>
        <w:t>se trate de un familiar</w:t>
      </w:r>
      <w:r w:rsidR="00C17D60" w:rsidRPr="00802BB2">
        <w:rPr>
          <w:b/>
        </w:rPr>
        <w:t>.</w:t>
      </w:r>
      <w:r w:rsidR="006475A7" w:rsidRPr="00802BB2">
        <w:t xml:space="preserve"> </w:t>
      </w:r>
      <w:r w:rsidRPr="00802BB2">
        <w:t xml:space="preserve">Cada persona requiere de tiempos distintos para expresar lo que le pasa y/o necesita. La escucha debe incluir la percepción del lenguaje no verbal. </w:t>
      </w:r>
    </w:p>
    <w:p w14:paraId="56AB15E1" w14:textId="259B3BB7" w:rsidR="00C17D60" w:rsidRPr="00802BB2" w:rsidRDefault="00E70D92" w:rsidP="00CF63B9">
      <w:pPr>
        <w:pStyle w:val="Prrafodelista"/>
        <w:numPr>
          <w:ilvl w:val="0"/>
          <w:numId w:val="21"/>
        </w:numPr>
        <w:spacing w:before="240"/>
        <w:contextualSpacing w:val="0"/>
        <w:jc w:val="both"/>
      </w:pPr>
      <w:r w:rsidRPr="00802BB2">
        <w:rPr>
          <w:b/>
        </w:rPr>
        <w:t>Fomentar un ambiente de confianza y entorno seguro, donde la persona con discapacidad se manifieste libremente, salvaguardando sus tiempos y formas de interacción, sin</w:t>
      </w:r>
      <w:r w:rsidR="00414EF6" w:rsidRPr="00802BB2">
        <w:t xml:space="preserve"> interrumpir o </w:t>
      </w:r>
      <w:r w:rsidR="00564A86" w:rsidRPr="00802BB2">
        <w:t>desacreditar</w:t>
      </w:r>
      <w:r w:rsidR="00D34D74" w:rsidRPr="00802BB2">
        <w:t xml:space="preserve"> la credibilidad</w:t>
      </w:r>
      <w:r w:rsidR="00414EF6" w:rsidRPr="00802BB2">
        <w:t xml:space="preserve"> de </w:t>
      </w:r>
      <w:r w:rsidRPr="00802BB2">
        <w:t>sus</w:t>
      </w:r>
      <w:r w:rsidR="00414EF6" w:rsidRPr="00802BB2">
        <w:t xml:space="preserve"> relatos. Estar atentos a no revictimizar a la persona con discapacidad.</w:t>
      </w:r>
      <w:r w:rsidR="009638A1" w:rsidRPr="00802BB2">
        <w:t xml:space="preserve"> </w:t>
      </w:r>
      <w:r w:rsidRPr="00802BB2">
        <w:t>La persona con discapacidad tiene derecho a solicitar que su acompañante no esté presente en su declaración.</w:t>
      </w:r>
    </w:p>
    <w:p w14:paraId="69EFB504" w14:textId="647B8FE5" w:rsidR="001C0DBD" w:rsidRPr="00802BB2" w:rsidRDefault="00A85732" w:rsidP="00CF63B9">
      <w:pPr>
        <w:pStyle w:val="Prrafodelista"/>
        <w:numPr>
          <w:ilvl w:val="0"/>
          <w:numId w:val="21"/>
        </w:numPr>
        <w:spacing w:before="240"/>
        <w:contextualSpacing w:val="0"/>
        <w:jc w:val="both"/>
        <w:rPr>
          <w:b/>
        </w:rPr>
      </w:pPr>
      <w:r w:rsidRPr="00802BB2">
        <w:rPr>
          <w:b/>
        </w:rPr>
        <w:t xml:space="preserve">Derribar prejuicios y estereotipos en relación </w:t>
      </w:r>
      <w:r w:rsidR="00331D45" w:rsidRPr="00802BB2">
        <w:rPr>
          <w:b/>
        </w:rPr>
        <w:t>con</w:t>
      </w:r>
      <w:r w:rsidRPr="00802BB2">
        <w:rPr>
          <w:b/>
        </w:rPr>
        <w:t xml:space="preserve"> los diversos tipos de discapacidad. </w:t>
      </w:r>
      <w:r w:rsidR="00F43ED6" w:rsidRPr="00802BB2">
        <w:t xml:space="preserve">Las funcionarias y </w:t>
      </w:r>
      <w:r w:rsidR="0006792E" w:rsidRPr="00802BB2">
        <w:t xml:space="preserve">los </w:t>
      </w:r>
      <w:r w:rsidR="00F43ED6" w:rsidRPr="00802BB2">
        <w:t>funcionarios</w:t>
      </w:r>
      <w:r w:rsidR="001C0DBD" w:rsidRPr="00802BB2">
        <w:t xml:space="preserve"> debe</w:t>
      </w:r>
      <w:r w:rsidR="00F43ED6" w:rsidRPr="00802BB2">
        <w:t>n</w:t>
      </w:r>
      <w:r w:rsidR="001C0DBD" w:rsidRPr="00802BB2">
        <w:t xml:space="preserve"> brindar tranquilidad y seguridad a la persona </w:t>
      </w:r>
      <w:r w:rsidR="00C37D7E" w:rsidRPr="00802BB2">
        <w:t>con discapacidad</w:t>
      </w:r>
      <w:r w:rsidR="001C0DBD" w:rsidRPr="00802BB2">
        <w:t>, protegiendo y promoviendo su dignidad inherente, derechos humanos y libertades fundamentales.</w:t>
      </w:r>
    </w:p>
    <w:p w14:paraId="7861F1B0" w14:textId="5967A7AF" w:rsidR="00A85732" w:rsidRPr="00802BB2" w:rsidRDefault="00A85732" w:rsidP="00CF63B9">
      <w:pPr>
        <w:pStyle w:val="Prrafodelista"/>
        <w:numPr>
          <w:ilvl w:val="0"/>
          <w:numId w:val="21"/>
        </w:numPr>
        <w:spacing w:before="240"/>
        <w:contextualSpacing w:val="0"/>
        <w:jc w:val="both"/>
      </w:pPr>
      <w:r w:rsidRPr="00802BB2">
        <w:rPr>
          <w:b/>
        </w:rPr>
        <w:t>Asegurar la debida diligencia en los procesos</w:t>
      </w:r>
      <w:r w:rsidRPr="00802BB2">
        <w:t xml:space="preserve">, </w:t>
      </w:r>
      <w:r w:rsidRPr="00802BB2">
        <w:rPr>
          <w:b/>
        </w:rPr>
        <w:t>priorizando la atención, tramitación, dictación y ejecución de resoluciones judiciales en que estén involucradas personas con discapacidad,</w:t>
      </w:r>
      <w:r w:rsidR="00B2672F" w:rsidRPr="00802BB2">
        <w:t xml:space="preserve"> </w:t>
      </w:r>
      <w:r w:rsidRPr="00802BB2">
        <w:t xml:space="preserve">cumpliendo </w:t>
      </w:r>
      <w:r w:rsidR="00D34D74" w:rsidRPr="00802BB2">
        <w:t>especialmente con los principios de economía y celeridad procesal.</w:t>
      </w:r>
      <w:r w:rsidR="0051015F" w:rsidRPr="00802BB2">
        <w:t xml:space="preserve"> </w:t>
      </w:r>
    </w:p>
    <w:p w14:paraId="73DA52EB" w14:textId="641734B1" w:rsidR="00BD5D81" w:rsidRPr="00802BB2" w:rsidRDefault="00A85732" w:rsidP="00CF63B9">
      <w:pPr>
        <w:pStyle w:val="Prrafodelista"/>
        <w:numPr>
          <w:ilvl w:val="0"/>
          <w:numId w:val="21"/>
        </w:numPr>
        <w:spacing w:before="240"/>
        <w:contextualSpacing w:val="0"/>
        <w:jc w:val="both"/>
      </w:pPr>
      <w:r w:rsidRPr="00802BB2">
        <w:rPr>
          <w:b/>
        </w:rPr>
        <w:t xml:space="preserve">Reemplazar </w:t>
      </w:r>
      <w:r w:rsidR="0051015F" w:rsidRPr="00802BB2">
        <w:rPr>
          <w:b/>
        </w:rPr>
        <w:t>audiencias o tramitaciones presenciales por videoconferencias, evita</w:t>
      </w:r>
      <w:r w:rsidRPr="00802BB2">
        <w:rPr>
          <w:b/>
        </w:rPr>
        <w:t>ndo comparecencias innecesarias y a</w:t>
      </w:r>
      <w:r w:rsidR="00900C35" w:rsidRPr="00802BB2">
        <w:t>provecha</w:t>
      </w:r>
      <w:r w:rsidRPr="00802BB2">
        <w:t>ndo</w:t>
      </w:r>
      <w:r w:rsidR="00900C35" w:rsidRPr="00802BB2">
        <w:t xml:space="preserve"> instancias presenciales para las notificaciones</w:t>
      </w:r>
      <w:r w:rsidR="00037DD0" w:rsidRPr="00802BB2">
        <w:t xml:space="preserve"> y recurr</w:t>
      </w:r>
      <w:r w:rsidR="0066385D" w:rsidRPr="00802BB2">
        <w:t>ir</w:t>
      </w:r>
      <w:r w:rsidR="00037DD0" w:rsidRPr="00802BB2">
        <w:t xml:space="preserve"> a modos accesibles</w:t>
      </w:r>
      <w:r w:rsidR="003A41E6" w:rsidRPr="00802BB2">
        <w:t xml:space="preserve"> al realizarlas.</w:t>
      </w:r>
      <w:r w:rsidR="00C4353F" w:rsidRPr="00802BB2">
        <w:t xml:space="preserve"> </w:t>
      </w:r>
      <w:r w:rsidR="00517843" w:rsidRPr="00802BB2">
        <w:t>Esto no se trata de privilegios, sino de derechos.</w:t>
      </w:r>
    </w:p>
    <w:p w14:paraId="10B4D4B9" w14:textId="734C431E" w:rsidR="00911543" w:rsidRPr="00802BB2" w:rsidRDefault="00A85732" w:rsidP="00CF63B9">
      <w:pPr>
        <w:pStyle w:val="Prrafodelista"/>
        <w:numPr>
          <w:ilvl w:val="0"/>
          <w:numId w:val="21"/>
        </w:numPr>
        <w:spacing w:before="240"/>
        <w:contextualSpacing w:val="0"/>
        <w:jc w:val="both"/>
      </w:pPr>
      <w:r w:rsidRPr="00802BB2">
        <w:rPr>
          <w:b/>
        </w:rPr>
        <w:t>Disponer e implementar módulos de atención preferente</w:t>
      </w:r>
      <w:r w:rsidRPr="00802BB2">
        <w:t xml:space="preserve"> con información accesible sobre procedimientos judiciales, servicios y orientaciones </w:t>
      </w:r>
      <w:r w:rsidR="005D5EC1" w:rsidRPr="00802BB2">
        <w:t>en relación con el</w:t>
      </w:r>
      <w:r w:rsidRPr="00802BB2">
        <w:t xml:space="preserve"> espacio físico de las Cortes y Tribunales de Justicia.</w:t>
      </w:r>
      <w:r w:rsidR="00911543" w:rsidRPr="00802BB2">
        <w:t xml:space="preserve"> No debiera ser un requisito acreditar la discapacidad para ser atendido preferentemente.</w:t>
      </w:r>
      <w:r w:rsidR="00911543" w:rsidRPr="00802BB2">
        <w:rPr>
          <w:rFonts w:cstheme="minorHAnsi"/>
        </w:rPr>
        <w:t xml:space="preserve"> </w:t>
      </w:r>
      <w:r w:rsidR="00C37D7E" w:rsidRPr="00802BB2">
        <w:rPr>
          <w:rFonts w:cstheme="minorHAnsi"/>
        </w:rPr>
        <w:t>L</w:t>
      </w:r>
      <w:r w:rsidRPr="00802BB2">
        <w:rPr>
          <w:rFonts w:cstheme="minorHAnsi"/>
        </w:rPr>
        <w:t>as funcionarias y</w:t>
      </w:r>
      <w:r w:rsidR="00C37D7E" w:rsidRPr="00802BB2">
        <w:rPr>
          <w:rFonts w:cstheme="minorHAnsi"/>
        </w:rPr>
        <w:t xml:space="preserve"> </w:t>
      </w:r>
      <w:r w:rsidR="00FC23AD" w:rsidRPr="00802BB2">
        <w:rPr>
          <w:rFonts w:cstheme="minorHAnsi"/>
        </w:rPr>
        <w:t xml:space="preserve">los </w:t>
      </w:r>
      <w:r w:rsidR="00C37D7E" w:rsidRPr="00802BB2">
        <w:rPr>
          <w:rFonts w:cstheme="minorHAnsi"/>
        </w:rPr>
        <w:t>funcionarios judiciales</w:t>
      </w:r>
      <w:r w:rsidR="00911543" w:rsidRPr="00802BB2">
        <w:rPr>
          <w:rFonts w:cstheme="minorHAnsi"/>
        </w:rPr>
        <w:t xml:space="preserve"> deben tener un manejo técnico sobre las respuestas a necesidades de las personas con discapacidad, diferenciando las de cada grupo y para cada persona.</w:t>
      </w:r>
    </w:p>
    <w:p w14:paraId="76DF2D97" w14:textId="2E4A5AB8" w:rsidR="005D062F" w:rsidRPr="00802BB2" w:rsidRDefault="00A85732" w:rsidP="00CF63B9">
      <w:pPr>
        <w:pStyle w:val="Prrafodelista"/>
        <w:numPr>
          <w:ilvl w:val="0"/>
          <w:numId w:val="21"/>
        </w:numPr>
        <w:spacing w:before="240"/>
        <w:contextualSpacing w:val="0"/>
        <w:jc w:val="both"/>
      </w:pPr>
      <w:r w:rsidRPr="00802BB2">
        <w:rPr>
          <w:b/>
        </w:rPr>
        <w:t>Garantizar la disponibilidad a mecanismos accesibles de denuncias</w:t>
      </w:r>
      <w:r w:rsidRPr="00802BB2">
        <w:t xml:space="preserve"> para que las personas con discapacidad puedan reclamar situaciones concretas en que no han tenido un adecuado acceso a la justicia por no cumplirse con sus garantías procesales, </w:t>
      </w:r>
      <w:r w:rsidR="0083168D" w:rsidRPr="00802BB2">
        <w:t xml:space="preserve">de manera </w:t>
      </w:r>
      <w:r w:rsidR="007E3A8D" w:rsidRPr="00802BB2">
        <w:t>que el Poder Judicial tome</w:t>
      </w:r>
      <w:r w:rsidR="0083168D" w:rsidRPr="00802BB2">
        <w:t xml:space="preserve"> las medidas pertinentes</w:t>
      </w:r>
      <w:r w:rsidRPr="00802BB2">
        <w:t>.</w:t>
      </w:r>
    </w:p>
    <w:p w14:paraId="576C8BB4" w14:textId="482959D9" w:rsidR="00E64B92" w:rsidRPr="00802BB2" w:rsidRDefault="00A85732" w:rsidP="00CF63B9">
      <w:pPr>
        <w:pStyle w:val="Prrafodelista"/>
        <w:numPr>
          <w:ilvl w:val="0"/>
          <w:numId w:val="21"/>
        </w:numPr>
        <w:spacing w:before="240"/>
        <w:contextualSpacing w:val="0"/>
        <w:jc w:val="both"/>
      </w:pPr>
      <w:r w:rsidRPr="00802BB2">
        <w:rPr>
          <w:b/>
        </w:rPr>
        <w:t>Fomentar la contribución de las organizaciones de Personas con Discapacidad para orientar al Poder Judicial sobre el acceso a la justicia, ajustes de procedimiento, accesibilidad y ajustes razonables de las personas con discapacidad.</w:t>
      </w:r>
    </w:p>
    <w:p w14:paraId="7731F315" w14:textId="35E70E21" w:rsidR="00D11012" w:rsidRPr="00802BB2" w:rsidRDefault="00A85732" w:rsidP="00CF63B9">
      <w:pPr>
        <w:pStyle w:val="Prrafodelista"/>
        <w:numPr>
          <w:ilvl w:val="0"/>
          <w:numId w:val="21"/>
        </w:numPr>
        <w:spacing w:before="240"/>
        <w:contextualSpacing w:val="0"/>
        <w:jc w:val="both"/>
        <w:rPr>
          <w:rFonts w:cstheme="minorHAnsi"/>
        </w:rPr>
      </w:pPr>
      <w:r w:rsidRPr="00802BB2">
        <w:rPr>
          <w:rFonts w:cstheme="minorHAnsi"/>
          <w:b/>
          <w:bCs/>
        </w:rPr>
        <w:t>Supervisar y garantizar el</w:t>
      </w:r>
      <w:r w:rsidR="007E3A8D" w:rsidRPr="00802BB2">
        <w:rPr>
          <w:rFonts w:cstheme="minorHAnsi"/>
          <w:b/>
          <w:bCs/>
        </w:rPr>
        <w:t xml:space="preserve"> adecuado acceso a la justicia de personas con discapacidad:</w:t>
      </w:r>
      <w:r w:rsidR="007E3A8D" w:rsidRPr="00802BB2">
        <w:rPr>
          <w:rFonts w:cstheme="minorHAnsi"/>
        </w:rPr>
        <w:t xml:space="preserve"> Cada Tribunal debe asegurar</w:t>
      </w:r>
      <w:r w:rsidR="00FC34A7" w:rsidRPr="00802BB2">
        <w:rPr>
          <w:rFonts w:cstheme="minorHAnsi"/>
        </w:rPr>
        <w:t>se</w:t>
      </w:r>
      <w:r w:rsidR="007E3A8D" w:rsidRPr="00802BB2">
        <w:rPr>
          <w:rFonts w:cstheme="minorHAnsi"/>
        </w:rPr>
        <w:t xml:space="preserve"> de garantizar que se cumpla con el acceso a la justicia de las personas con discapacidad</w:t>
      </w:r>
      <w:r w:rsidR="00C37D7E" w:rsidRPr="00802BB2">
        <w:rPr>
          <w:rFonts w:cstheme="minorHAnsi"/>
        </w:rPr>
        <w:t xml:space="preserve">, </w:t>
      </w:r>
      <w:r w:rsidR="00FC34A7" w:rsidRPr="00802BB2">
        <w:rPr>
          <w:rFonts w:cstheme="minorHAnsi"/>
        </w:rPr>
        <w:t>su igualdad de trato</w:t>
      </w:r>
      <w:r w:rsidR="00C37D7E" w:rsidRPr="00802BB2">
        <w:rPr>
          <w:rFonts w:cstheme="minorHAnsi"/>
        </w:rPr>
        <w:t xml:space="preserve"> e igualdad de oportunidades</w:t>
      </w:r>
      <w:r w:rsidR="00FC34A7" w:rsidRPr="00802BB2">
        <w:rPr>
          <w:rFonts w:cstheme="minorHAnsi"/>
        </w:rPr>
        <w:t>.</w:t>
      </w:r>
      <w:r w:rsidR="007E3A8D" w:rsidRPr="00802BB2">
        <w:rPr>
          <w:rFonts w:cstheme="minorHAnsi"/>
        </w:rPr>
        <w:t xml:space="preserve"> Para ello</w:t>
      </w:r>
      <w:r w:rsidR="00FC34A7" w:rsidRPr="00802BB2">
        <w:rPr>
          <w:rFonts w:cstheme="minorHAnsi"/>
        </w:rPr>
        <w:t xml:space="preserve">, </w:t>
      </w:r>
      <w:r w:rsidR="00B22B1C" w:rsidRPr="00802BB2">
        <w:rPr>
          <w:rFonts w:cstheme="minorHAnsi"/>
        </w:rPr>
        <w:t>las juezas y jueces</w:t>
      </w:r>
      <w:r w:rsidR="00FC34A7" w:rsidRPr="00802BB2">
        <w:rPr>
          <w:rFonts w:cstheme="minorHAnsi"/>
        </w:rPr>
        <w:t xml:space="preserve"> puede</w:t>
      </w:r>
      <w:r w:rsidR="00F43ED6" w:rsidRPr="00802BB2">
        <w:rPr>
          <w:rFonts w:cstheme="minorHAnsi"/>
        </w:rPr>
        <w:t>n</w:t>
      </w:r>
      <w:r w:rsidR="00FC34A7" w:rsidRPr="00802BB2">
        <w:rPr>
          <w:rFonts w:cstheme="minorHAnsi"/>
        </w:rPr>
        <w:t xml:space="preserve"> encomendar esta labor a un</w:t>
      </w:r>
      <w:r w:rsidR="00F43ED6" w:rsidRPr="00802BB2">
        <w:rPr>
          <w:rFonts w:cstheme="minorHAnsi"/>
        </w:rPr>
        <w:t>a</w:t>
      </w:r>
      <w:r w:rsidR="00FC34A7" w:rsidRPr="00802BB2">
        <w:rPr>
          <w:rFonts w:cstheme="minorHAnsi"/>
        </w:rPr>
        <w:t xml:space="preserve"> funcionari</w:t>
      </w:r>
      <w:r w:rsidR="00F43ED6" w:rsidRPr="00802BB2">
        <w:rPr>
          <w:rFonts w:cstheme="minorHAnsi"/>
        </w:rPr>
        <w:t>a o funcionario</w:t>
      </w:r>
      <w:r w:rsidR="00FC34A7" w:rsidRPr="00802BB2">
        <w:rPr>
          <w:rFonts w:cstheme="minorHAnsi"/>
        </w:rPr>
        <w:t xml:space="preserve"> del Tribunal que</w:t>
      </w:r>
      <w:r w:rsidR="00E456A1" w:rsidRPr="00802BB2">
        <w:rPr>
          <w:rFonts w:cstheme="minorHAnsi"/>
        </w:rPr>
        <w:t>,</w:t>
      </w:r>
      <w:r w:rsidR="00FC34A7" w:rsidRPr="00802BB2">
        <w:rPr>
          <w:rFonts w:cstheme="minorHAnsi"/>
        </w:rPr>
        <w:t xml:space="preserve"> durante el curso d</w:t>
      </w:r>
      <w:r w:rsidR="008615A7" w:rsidRPr="00802BB2">
        <w:rPr>
          <w:rFonts w:cstheme="minorHAnsi"/>
        </w:rPr>
        <w:t>e un juicio o gestión judicial voluntaria</w:t>
      </w:r>
      <w:r w:rsidR="00FC34A7" w:rsidRPr="00802BB2">
        <w:rPr>
          <w:rFonts w:cstheme="minorHAnsi"/>
        </w:rPr>
        <w:t xml:space="preserve">, </w:t>
      </w:r>
      <w:r w:rsidR="00F126C9" w:rsidRPr="00802BB2">
        <w:rPr>
          <w:rFonts w:cstheme="minorHAnsi"/>
        </w:rPr>
        <w:t>identifi</w:t>
      </w:r>
      <w:r w:rsidR="00FC34A7" w:rsidRPr="00802BB2">
        <w:rPr>
          <w:rFonts w:cstheme="minorHAnsi"/>
        </w:rPr>
        <w:t>que</w:t>
      </w:r>
      <w:r w:rsidR="00F126C9" w:rsidRPr="00802BB2">
        <w:rPr>
          <w:rFonts w:cstheme="minorHAnsi"/>
        </w:rPr>
        <w:t xml:space="preserve"> las barreras que enfrenta la persona con discapacidad</w:t>
      </w:r>
      <w:r w:rsidR="008615A7" w:rsidRPr="00802BB2">
        <w:rPr>
          <w:rFonts w:cstheme="minorHAnsi"/>
        </w:rPr>
        <w:t xml:space="preserve"> y</w:t>
      </w:r>
      <w:r w:rsidR="00F126C9" w:rsidRPr="00802BB2">
        <w:rPr>
          <w:rFonts w:cstheme="minorHAnsi"/>
        </w:rPr>
        <w:t xml:space="preserve"> propon</w:t>
      </w:r>
      <w:r w:rsidR="00FC34A7" w:rsidRPr="00802BB2">
        <w:rPr>
          <w:rFonts w:cstheme="minorHAnsi"/>
        </w:rPr>
        <w:t>ga</w:t>
      </w:r>
      <w:r w:rsidR="00F126C9" w:rsidRPr="00802BB2">
        <w:rPr>
          <w:rFonts w:cstheme="minorHAnsi"/>
        </w:rPr>
        <w:t xml:space="preserve"> los ajustes de procedimientos </w:t>
      </w:r>
      <w:r w:rsidR="00FC34A7" w:rsidRPr="00802BB2">
        <w:rPr>
          <w:rFonts w:cstheme="minorHAnsi"/>
        </w:rPr>
        <w:t>acordados previamente con la persona con discapacidad que actúa en el proceso.</w:t>
      </w:r>
    </w:p>
    <w:p w14:paraId="7A385560" w14:textId="36D6808B" w:rsidR="00E64B92" w:rsidRPr="00802BB2" w:rsidRDefault="007F0E50" w:rsidP="004F22BD">
      <w:pPr>
        <w:pStyle w:val="Prrafodelista"/>
        <w:spacing w:before="240"/>
        <w:ind w:firstLine="709"/>
        <w:contextualSpacing w:val="0"/>
        <w:jc w:val="both"/>
        <w:rPr>
          <w:rFonts w:cstheme="minorHAnsi"/>
        </w:rPr>
      </w:pPr>
      <w:r w:rsidRPr="00802BB2">
        <w:rPr>
          <w:rFonts w:cstheme="minorHAnsi"/>
        </w:rPr>
        <w:t>De esta manera, se hace</w:t>
      </w:r>
      <w:r w:rsidR="00F126C9" w:rsidRPr="00802BB2">
        <w:rPr>
          <w:rFonts w:cstheme="minorHAnsi"/>
        </w:rPr>
        <w:t xml:space="preserve"> seguimiento de cada causa en que sea parte una persona con discapacidad, supervisando que se cumplan</w:t>
      </w:r>
      <w:r w:rsidRPr="00802BB2">
        <w:rPr>
          <w:rFonts w:cstheme="minorHAnsi"/>
        </w:rPr>
        <w:t xml:space="preserve"> los ajustes de procedimiento, el correcto funcionamiento de los apoyos para el ejercicio de la capacidad jurídica y la oportunidad de las </w:t>
      </w:r>
      <w:r w:rsidR="00F126C9" w:rsidRPr="00802BB2">
        <w:rPr>
          <w:rFonts w:cstheme="minorHAnsi"/>
        </w:rPr>
        <w:t>decisiones</w:t>
      </w:r>
      <w:r w:rsidRPr="00802BB2">
        <w:rPr>
          <w:rFonts w:cstheme="minorHAnsi"/>
        </w:rPr>
        <w:t xml:space="preserve"> judiciales, dando cuenta </w:t>
      </w:r>
      <w:r w:rsidR="00F43ED6" w:rsidRPr="00802BB2">
        <w:rPr>
          <w:rFonts w:cstheme="minorHAnsi"/>
        </w:rPr>
        <w:t>al juez o a la jueza</w:t>
      </w:r>
      <w:r w:rsidRPr="00802BB2">
        <w:rPr>
          <w:rFonts w:cstheme="minorHAnsi"/>
        </w:rPr>
        <w:t xml:space="preserve"> si esto no ocurre.</w:t>
      </w:r>
    </w:p>
    <w:p w14:paraId="695C9E52" w14:textId="60169516" w:rsidR="00106F8E" w:rsidRPr="00802BB2" w:rsidRDefault="00882BBD" w:rsidP="00DB367C">
      <w:pPr>
        <w:pStyle w:val="Prrafodelista"/>
        <w:numPr>
          <w:ilvl w:val="0"/>
          <w:numId w:val="16"/>
        </w:numPr>
        <w:shd w:val="clear" w:color="auto" w:fill="DEEAF6" w:themeFill="accent5" w:themeFillTint="33"/>
        <w:spacing w:before="240"/>
        <w:jc w:val="both"/>
        <w:rPr>
          <w:b/>
          <w:bCs/>
        </w:rPr>
      </w:pPr>
      <w:r w:rsidRPr="00802BB2">
        <w:rPr>
          <w:b/>
        </w:rPr>
        <w:t>Recomendaciones</w:t>
      </w:r>
      <w:r w:rsidR="00A062B9" w:rsidRPr="00802BB2">
        <w:rPr>
          <w:b/>
        </w:rPr>
        <w:t xml:space="preserve"> </w:t>
      </w:r>
      <w:r w:rsidR="008C5726" w:rsidRPr="00802BB2">
        <w:rPr>
          <w:b/>
        </w:rPr>
        <w:t xml:space="preserve">Prácticas </w:t>
      </w:r>
      <w:r w:rsidR="00A062B9" w:rsidRPr="00802BB2">
        <w:rPr>
          <w:b/>
        </w:rPr>
        <w:t>Particulares</w:t>
      </w:r>
      <w:r w:rsidRPr="00802BB2">
        <w:rPr>
          <w:b/>
        </w:rPr>
        <w:t xml:space="preserve"> para </w:t>
      </w:r>
      <w:r w:rsidR="00F43ED6" w:rsidRPr="00802BB2">
        <w:rPr>
          <w:b/>
        </w:rPr>
        <w:t xml:space="preserve">las funcionarias y </w:t>
      </w:r>
      <w:r w:rsidR="008C5726" w:rsidRPr="00802BB2">
        <w:rPr>
          <w:b/>
        </w:rPr>
        <w:t xml:space="preserve">los </w:t>
      </w:r>
      <w:r w:rsidR="00F43ED6" w:rsidRPr="00802BB2">
        <w:rPr>
          <w:b/>
        </w:rPr>
        <w:t>funcionarios</w:t>
      </w:r>
      <w:r w:rsidRPr="00802BB2">
        <w:rPr>
          <w:b/>
        </w:rPr>
        <w:t xml:space="preserve"> de </w:t>
      </w:r>
      <w:r w:rsidR="008C5726" w:rsidRPr="00802BB2">
        <w:rPr>
          <w:b/>
        </w:rPr>
        <w:t xml:space="preserve">la administración de </w:t>
      </w:r>
      <w:r w:rsidRPr="00802BB2">
        <w:rPr>
          <w:b/>
        </w:rPr>
        <w:t>Justicia</w:t>
      </w:r>
      <w:r w:rsidR="0018680F" w:rsidRPr="00802BB2">
        <w:rPr>
          <w:b/>
        </w:rPr>
        <w:t xml:space="preserve"> en su atención a Personas con Discapacidad</w:t>
      </w:r>
    </w:p>
    <w:p w14:paraId="39F52F5E" w14:textId="7F6CDA84" w:rsidR="00882BBD" w:rsidRPr="00802BB2" w:rsidRDefault="00882BBD" w:rsidP="004F22BD">
      <w:pPr>
        <w:spacing w:before="240"/>
        <w:ind w:firstLine="709"/>
        <w:jc w:val="both"/>
        <w:rPr>
          <w:bCs/>
        </w:rPr>
      </w:pPr>
      <w:r w:rsidRPr="00802BB2">
        <w:rPr>
          <w:bCs/>
        </w:rPr>
        <w:t>Se distinguirá de acuerdo a los tipos de discapacidad más frecuentes</w:t>
      </w:r>
      <w:r w:rsidR="00261201" w:rsidRPr="00802BB2">
        <w:rPr>
          <w:bCs/>
        </w:rPr>
        <w:t xml:space="preserve"> que enuncia la Convenció</w:t>
      </w:r>
      <w:r w:rsidRPr="00802BB2">
        <w:rPr>
          <w:bCs/>
        </w:rPr>
        <w:t>n, lo que no</w:t>
      </w:r>
      <w:r w:rsidR="00063FC5" w:rsidRPr="00802BB2">
        <w:rPr>
          <w:bCs/>
        </w:rPr>
        <w:t xml:space="preserve"> impide la incorporación de</w:t>
      </w:r>
      <w:r w:rsidRPr="00802BB2">
        <w:rPr>
          <w:bCs/>
        </w:rPr>
        <w:t xml:space="preserve"> otros aj</w:t>
      </w:r>
      <w:r w:rsidR="00D57F2E" w:rsidRPr="00802BB2">
        <w:rPr>
          <w:bCs/>
        </w:rPr>
        <w:t>ustes de procedimiento conforme</w:t>
      </w:r>
      <w:r w:rsidRPr="00802BB2">
        <w:rPr>
          <w:bCs/>
        </w:rPr>
        <w:t xml:space="preserve"> a la diversidad de otras discapacidades: </w:t>
      </w:r>
    </w:p>
    <w:p w14:paraId="48AD9BD8" w14:textId="5D601A5F" w:rsidR="00DB367C" w:rsidRPr="00802BB2" w:rsidRDefault="00774C0D" w:rsidP="00802BB2">
      <w:pPr>
        <w:pStyle w:val="Prrafodelista"/>
        <w:numPr>
          <w:ilvl w:val="0"/>
          <w:numId w:val="22"/>
        </w:numPr>
        <w:spacing w:before="240"/>
        <w:jc w:val="both"/>
      </w:pPr>
      <w:r w:rsidRPr="00802BB2">
        <w:rPr>
          <w:b/>
        </w:rPr>
        <w:t>Persona con discapacidad física</w:t>
      </w:r>
      <w:r w:rsidRPr="00802BB2">
        <w:rPr>
          <w:bCs/>
        </w:rPr>
        <w:t xml:space="preserve">: </w:t>
      </w:r>
    </w:p>
    <w:p w14:paraId="3B464020" w14:textId="7DA1F129" w:rsidR="000F3AFB" w:rsidRPr="00802BB2" w:rsidRDefault="00774962" w:rsidP="00DB367C">
      <w:pPr>
        <w:spacing w:before="240"/>
        <w:ind w:firstLine="709"/>
        <w:jc w:val="both"/>
      </w:pPr>
      <w:r w:rsidRPr="00802BB2">
        <w:rPr>
          <w:bCs/>
        </w:rPr>
        <w:t>Si la persona es usuaria de silla de ruedas,</w:t>
      </w:r>
      <w:r w:rsidR="00882BBD" w:rsidRPr="00802BB2">
        <w:rPr>
          <w:bCs/>
        </w:rPr>
        <w:t xml:space="preserve"> no</w:t>
      </w:r>
      <w:r w:rsidR="00882BBD" w:rsidRPr="00802BB2">
        <w:t xml:space="preserve"> toque la silla ni se afirme en ella sin pedir su permiso. Si</w:t>
      </w:r>
      <w:r w:rsidR="00774C0D" w:rsidRPr="00802BB2">
        <w:t xml:space="preserve">éntese </w:t>
      </w:r>
      <w:r w:rsidR="00F1342A" w:rsidRPr="00802BB2">
        <w:t xml:space="preserve">en frente de la persona con discapacidad para que ambos se den la cara. </w:t>
      </w:r>
    </w:p>
    <w:p w14:paraId="40544CE8" w14:textId="687713FA" w:rsidR="00774C0D" w:rsidRPr="00802BB2" w:rsidRDefault="003A41E6" w:rsidP="00DB367C">
      <w:pPr>
        <w:spacing w:before="240"/>
        <w:ind w:firstLine="709"/>
        <w:jc w:val="both"/>
      </w:pPr>
      <w:r w:rsidRPr="00802BB2">
        <w:t>Es importante interactuar a su altura, sobre</w:t>
      </w:r>
      <w:r w:rsidR="00063FC5" w:rsidRPr="00802BB2">
        <w:t xml:space="preserve"> </w:t>
      </w:r>
      <w:r w:rsidRPr="00802BB2">
        <w:t xml:space="preserve">todo si </w:t>
      </w:r>
      <w:r w:rsidR="00774962" w:rsidRPr="00802BB2">
        <w:t xml:space="preserve">usted </w:t>
      </w:r>
      <w:r w:rsidRPr="00802BB2">
        <w:t xml:space="preserve">está detrás de una ventanilla o mesón de atención. </w:t>
      </w:r>
      <w:r w:rsidR="00774C0D" w:rsidRPr="00802BB2">
        <w:t>No mueva las muletas, bastón, silla de ruedas u otro elemento de apoyo sin pedirle permiso y asegúrese que se le devu</w:t>
      </w:r>
      <w:r w:rsidR="009E10EE" w:rsidRPr="00802BB2">
        <w:t xml:space="preserve">elvan estas ayudas técnicas </w:t>
      </w:r>
      <w:r w:rsidR="001C0DBD" w:rsidRPr="00802BB2">
        <w:t xml:space="preserve">si </w:t>
      </w:r>
      <w:r w:rsidR="00774962" w:rsidRPr="00802BB2">
        <w:t>la persona se ha</w:t>
      </w:r>
      <w:r w:rsidR="001C0DBD" w:rsidRPr="00802BB2">
        <w:t xml:space="preserve"> separado de ell</w:t>
      </w:r>
      <w:r w:rsidR="00CD4DB7" w:rsidRPr="00802BB2">
        <w:t>a</w:t>
      </w:r>
      <w:r w:rsidR="001C0DBD" w:rsidRPr="00802BB2">
        <w:t>s</w:t>
      </w:r>
      <w:r w:rsidR="00774C0D" w:rsidRPr="00802BB2">
        <w:t>.</w:t>
      </w:r>
      <w:r w:rsidRPr="00802BB2">
        <w:t xml:space="preserve"> Respete los ritmos de desplazamiento.</w:t>
      </w:r>
    </w:p>
    <w:p w14:paraId="27C7B12D" w14:textId="596E4493" w:rsidR="00355539" w:rsidRPr="00802BB2" w:rsidRDefault="00355539" w:rsidP="004F22BD">
      <w:pPr>
        <w:spacing w:before="240"/>
        <w:ind w:firstLine="709"/>
        <w:jc w:val="both"/>
      </w:pPr>
      <w:r w:rsidRPr="00802BB2">
        <w:t>Si la persona presenta discapacidad en sus extremidades s</w:t>
      </w:r>
      <w:r w:rsidR="00F43ED6" w:rsidRPr="00802BB2">
        <w:t>uperiores, y no pudiere firmar,</w:t>
      </w:r>
      <w:r w:rsidRPr="00802BB2">
        <w:t xml:space="preserve"> pregúntele de qué manera puede dejar constancia de la conformidad con su declaración o actuación en el proceso</w:t>
      </w:r>
      <w:r w:rsidR="003A5522" w:rsidRPr="00802BB2">
        <w:t xml:space="preserve">, teniendo </w:t>
      </w:r>
      <w:r w:rsidR="008615A7" w:rsidRPr="00802BB2">
        <w:t xml:space="preserve">la persona con discapacidad </w:t>
      </w:r>
      <w:r w:rsidR="00CD4DB7" w:rsidRPr="00802BB2">
        <w:t xml:space="preserve">derecho </w:t>
      </w:r>
      <w:r w:rsidR="003A5522" w:rsidRPr="00802BB2">
        <w:t>a solicitar rectificaciones cuando procedan.</w:t>
      </w:r>
    </w:p>
    <w:p w14:paraId="2C2028D0" w14:textId="6C403AF2" w:rsidR="00774C0D" w:rsidRPr="00802BB2" w:rsidRDefault="00355539" w:rsidP="004F22BD">
      <w:pPr>
        <w:spacing w:before="240"/>
        <w:ind w:firstLine="709"/>
        <w:jc w:val="both"/>
      </w:pPr>
      <w:r w:rsidRPr="00802BB2">
        <w:t>Si la persona presenta</w:t>
      </w:r>
      <w:r w:rsidR="00774C0D" w:rsidRPr="00802BB2">
        <w:t xml:space="preserve"> </w:t>
      </w:r>
      <w:r w:rsidR="00774C0D" w:rsidRPr="00802BB2">
        <w:rPr>
          <w:b/>
        </w:rPr>
        <w:t>dificultad en el habla</w:t>
      </w:r>
      <w:r w:rsidR="00774C0D" w:rsidRPr="00802BB2">
        <w:t xml:space="preserve">, </w:t>
      </w:r>
      <w:r w:rsidRPr="00802BB2">
        <w:t xml:space="preserve">y usted </w:t>
      </w:r>
      <w:r w:rsidR="00774C0D" w:rsidRPr="00802BB2">
        <w:t>no puede entender</w:t>
      </w:r>
      <w:r w:rsidRPr="00802BB2">
        <w:t>le</w:t>
      </w:r>
      <w:r w:rsidR="00774C0D" w:rsidRPr="00802BB2">
        <w:t xml:space="preserve">, no finja que sí la entiende. </w:t>
      </w:r>
      <w:r w:rsidRPr="00802BB2">
        <w:t xml:space="preserve">Pregunte por el formato de comunicación que le es útil para proveérselo. </w:t>
      </w:r>
      <w:r w:rsidR="00774C0D" w:rsidRPr="00802BB2">
        <w:t xml:space="preserve">Hágale preguntas que puede contestar con “sí” o “no”. </w:t>
      </w:r>
      <w:r w:rsidR="00206582" w:rsidRPr="00802BB2">
        <w:t xml:space="preserve">Dele todo el tiempo que necesite para explicar lo que le pasa o solicita. </w:t>
      </w:r>
      <w:r w:rsidRPr="00802BB2">
        <w:t>Tenga presente que p</w:t>
      </w:r>
      <w:r w:rsidR="0087376C" w:rsidRPr="00802BB2">
        <w:t>ueden declarar por escrito.</w:t>
      </w:r>
    </w:p>
    <w:p w14:paraId="76EC684A" w14:textId="77777777" w:rsidR="00DB367C" w:rsidRPr="00802BB2" w:rsidRDefault="00A062B9" w:rsidP="00DB367C">
      <w:pPr>
        <w:pStyle w:val="Prrafodelista"/>
        <w:numPr>
          <w:ilvl w:val="0"/>
          <w:numId w:val="22"/>
        </w:numPr>
        <w:spacing w:before="240"/>
        <w:jc w:val="both"/>
        <w:rPr>
          <w:rFonts w:eastAsia="Times New Roman" w:cstheme="minorHAnsi"/>
          <w:lang w:val="es-ES_tradnl" w:eastAsia="es-CL"/>
        </w:rPr>
      </w:pPr>
      <w:r w:rsidRPr="00802BB2">
        <w:rPr>
          <w:rFonts w:eastAsia="Times New Roman" w:cstheme="minorHAnsi"/>
          <w:b/>
          <w:lang w:val="es-ES_tradnl" w:eastAsia="es-CL"/>
        </w:rPr>
        <w:t>Persona con discapacidad visual:</w:t>
      </w:r>
      <w:r w:rsidRPr="00802BB2">
        <w:rPr>
          <w:rFonts w:eastAsia="Times New Roman" w:cstheme="minorHAnsi"/>
          <w:lang w:val="es-ES_tradnl" w:eastAsia="es-CL"/>
        </w:rPr>
        <w:t xml:space="preserve"> </w:t>
      </w:r>
    </w:p>
    <w:p w14:paraId="3898C311" w14:textId="77777777" w:rsidR="00DB367C" w:rsidRPr="00802BB2" w:rsidRDefault="00A062B9" w:rsidP="00DB367C">
      <w:pPr>
        <w:spacing w:before="240"/>
        <w:ind w:firstLine="709"/>
        <w:jc w:val="both"/>
        <w:rPr>
          <w:rFonts w:eastAsia="Times New Roman" w:cstheme="minorHAnsi"/>
          <w:lang w:val="es-ES_tradnl" w:eastAsia="es-CL"/>
        </w:rPr>
      </w:pPr>
      <w:r w:rsidRPr="00802BB2">
        <w:rPr>
          <w:rFonts w:eastAsia="Times New Roman" w:cstheme="minorHAnsi"/>
          <w:lang w:val="es-ES_tradnl" w:eastAsia="es-CL"/>
        </w:rPr>
        <w:t xml:space="preserve">Antes de </w:t>
      </w:r>
      <w:r w:rsidR="003A5522" w:rsidRPr="00802BB2">
        <w:rPr>
          <w:rFonts w:eastAsia="Times New Roman" w:cstheme="minorHAnsi"/>
          <w:lang w:val="es-ES_tradnl" w:eastAsia="es-CL"/>
        </w:rPr>
        <w:t>interactuar</w:t>
      </w:r>
      <w:r w:rsidRPr="00802BB2">
        <w:rPr>
          <w:rFonts w:eastAsia="Times New Roman" w:cstheme="minorHAnsi"/>
          <w:lang w:val="es-ES_tradnl" w:eastAsia="es-CL"/>
        </w:rPr>
        <w:t xml:space="preserve">, dígale quién es usted. </w:t>
      </w:r>
      <w:r w:rsidR="00037DD0" w:rsidRPr="00802BB2">
        <w:rPr>
          <w:rFonts w:eastAsia="Times New Roman" w:cstheme="minorHAnsi"/>
          <w:lang w:val="es-ES_tradnl" w:eastAsia="es-CL"/>
        </w:rPr>
        <w:t>Utilice palabras orientadoras</w:t>
      </w:r>
      <w:r w:rsidR="003A41E6" w:rsidRPr="00802BB2">
        <w:rPr>
          <w:rFonts w:eastAsia="Times New Roman" w:cstheme="minorHAnsi"/>
          <w:lang w:val="es-ES_tradnl" w:eastAsia="es-CL"/>
        </w:rPr>
        <w:t xml:space="preserve"> y no gestos</w:t>
      </w:r>
      <w:r w:rsidR="00037DD0" w:rsidRPr="00802BB2">
        <w:rPr>
          <w:rFonts w:eastAsia="Times New Roman" w:cstheme="minorHAnsi"/>
          <w:lang w:val="es-ES_tradnl" w:eastAsia="es-CL"/>
        </w:rPr>
        <w:t xml:space="preserve">. </w:t>
      </w:r>
      <w:r w:rsidR="003A5522" w:rsidRPr="00802BB2">
        <w:rPr>
          <w:rFonts w:eastAsia="Times New Roman" w:cstheme="minorHAnsi"/>
          <w:lang w:val="es-ES_tradnl" w:eastAsia="es-CL"/>
        </w:rPr>
        <w:t>Pregúntele si tiene ceguera o baja visión.</w:t>
      </w:r>
      <w:r w:rsidRPr="00802BB2">
        <w:rPr>
          <w:rFonts w:eastAsia="Times New Roman" w:cstheme="minorHAnsi"/>
          <w:lang w:val="es-ES_tradnl" w:eastAsia="es-CL"/>
        </w:rPr>
        <w:t xml:space="preserve"> No grite ni exagere su forma de hablar. </w:t>
      </w:r>
      <w:r w:rsidR="00037DD0" w:rsidRPr="00802BB2">
        <w:rPr>
          <w:rFonts w:eastAsia="Times New Roman" w:cstheme="minorHAnsi"/>
          <w:lang w:val="es-ES_tradnl" w:eastAsia="es-CL"/>
        </w:rPr>
        <w:t xml:space="preserve">Apoye su desplazamiento </w:t>
      </w:r>
      <w:r w:rsidR="003A5522" w:rsidRPr="00802BB2">
        <w:rPr>
          <w:rFonts w:eastAsia="Times New Roman" w:cstheme="minorHAnsi"/>
          <w:lang w:val="es-ES_tradnl" w:eastAsia="es-CL"/>
        </w:rPr>
        <w:t>preguntándole de qué forma lo desea</w:t>
      </w:r>
      <w:r w:rsidR="003A41E6" w:rsidRPr="00802BB2">
        <w:rPr>
          <w:rFonts w:eastAsia="Times New Roman" w:cstheme="minorHAnsi"/>
          <w:lang w:val="es-ES_tradnl" w:eastAsia="es-CL"/>
        </w:rPr>
        <w:t xml:space="preserve"> y </w:t>
      </w:r>
      <w:r w:rsidR="00037DD0" w:rsidRPr="00802BB2">
        <w:rPr>
          <w:rFonts w:eastAsia="Times New Roman" w:cstheme="minorHAnsi"/>
          <w:lang w:val="es-ES_tradnl" w:eastAsia="es-CL"/>
        </w:rPr>
        <w:t>sin invadir.</w:t>
      </w:r>
      <w:r w:rsidR="003A5522" w:rsidRPr="00802BB2">
        <w:rPr>
          <w:rFonts w:eastAsia="Times New Roman" w:cstheme="minorHAnsi"/>
          <w:lang w:val="es-ES_tradnl" w:eastAsia="es-CL"/>
        </w:rPr>
        <w:t xml:space="preserve"> Pregunte si le ofrece el brazo o si prefiere guiarse tocando su hombro.</w:t>
      </w:r>
      <w:r w:rsidR="00037DD0" w:rsidRPr="00802BB2">
        <w:rPr>
          <w:rFonts w:eastAsia="Times New Roman" w:cstheme="minorHAnsi"/>
          <w:lang w:val="es-ES_tradnl" w:eastAsia="es-CL"/>
        </w:rPr>
        <w:t xml:space="preserve"> </w:t>
      </w:r>
      <w:r w:rsidR="00885942" w:rsidRPr="00802BB2">
        <w:rPr>
          <w:rFonts w:eastAsia="Times New Roman" w:cstheme="minorHAnsi"/>
          <w:lang w:val="es-ES_tradnl" w:eastAsia="es-CL"/>
        </w:rPr>
        <w:t>Av</w:t>
      </w:r>
      <w:r w:rsidR="003A5522" w:rsidRPr="00802BB2">
        <w:rPr>
          <w:rFonts w:eastAsia="Times New Roman" w:cstheme="minorHAnsi"/>
          <w:lang w:val="es-ES_tradnl" w:eastAsia="es-CL"/>
        </w:rPr>
        <w:t>í</w:t>
      </w:r>
      <w:r w:rsidR="00885942" w:rsidRPr="00802BB2">
        <w:rPr>
          <w:rFonts w:eastAsia="Times New Roman" w:cstheme="minorHAnsi"/>
          <w:lang w:val="es-ES_tradnl" w:eastAsia="es-CL"/>
        </w:rPr>
        <w:t>se</w:t>
      </w:r>
      <w:r w:rsidR="003A5522" w:rsidRPr="00802BB2">
        <w:rPr>
          <w:rFonts w:eastAsia="Times New Roman" w:cstheme="minorHAnsi"/>
          <w:lang w:val="es-ES_tradnl" w:eastAsia="es-CL"/>
        </w:rPr>
        <w:t>le</w:t>
      </w:r>
      <w:r w:rsidR="00885942" w:rsidRPr="00802BB2">
        <w:rPr>
          <w:rFonts w:eastAsia="Times New Roman" w:cstheme="minorHAnsi"/>
          <w:lang w:val="es-ES_tradnl" w:eastAsia="es-CL"/>
        </w:rPr>
        <w:t xml:space="preserve"> con anticipación de la existencia de escalones, escaleras y ascensores. S</w:t>
      </w:r>
      <w:r w:rsidRPr="00802BB2">
        <w:rPr>
          <w:rFonts w:eastAsia="Times New Roman" w:cstheme="minorHAnsi"/>
          <w:lang w:val="es-ES_tradnl" w:eastAsia="es-CL"/>
        </w:rPr>
        <w:t>i usa un bastón, no se lo quite ni</w:t>
      </w:r>
      <w:r w:rsidR="003A5522" w:rsidRPr="00802BB2">
        <w:rPr>
          <w:rFonts w:eastAsia="Times New Roman" w:cstheme="minorHAnsi"/>
          <w:lang w:val="es-ES_tradnl" w:eastAsia="es-CL"/>
        </w:rPr>
        <w:t xml:space="preserve"> </w:t>
      </w:r>
      <w:r w:rsidRPr="00802BB2">
        <w:rPr>
          <w:rFonts w:eastAsia="Times New Roman" w:cstheme="minorHAnsi"/>
          <w:lang w:val="es-ES_tradnl" w:eastAsia="es-CL"/>
        </w:rPr>
        <w:t xml:space="preserve">levante el brazo donde lleva el bastón. </w:t>
      </w:r>
    </w:p>
    <w:p w14:paraId="40F2D135" w14:textId="57802C14" w:rsidR="00A062B9" w:rsidRPr="00802BB2" w:rsidRDefault="003A41E6" w:rsidP="00DB367C">
      <w:pPr>
        <w:spacing w:before="240"/>
        <w:ind w:firstLine="709"/>
        <w:jc w:val="both"/>
        <w:rPr>
          <w:rFonts w:eastAsia="Times New Roman" w:cstheme="minorHAnsi"/>
          <w:lang w:val="es-ES_tradnl" w:eastAsia="es-CL"/>
        </w:rPr>
      </w:pPr>
      <w:r w:rsidRPr="00802BB2">
        <w:rPr>
          <w:rFonts w:eastAsia="Times New Roman" w:cstheme="minorHAnsi"/>
          <w:lang w:val="es-ES_tradnl" w:eastAsia="es-CL"/>
        </w:rPr>
        <w:t>Respet</w:t>
      </w:r>
      <w:r w:rsidR="006D6726" w:rsidRPr="00802BB2">
        <w:rPr>
          <w:rFonts w:eastAsia="Times New Roman" w:cstheme="minorHAnsi"/>
          <w:lang w:val="es-ES_tradnl" w:eastAsia="es-CL"/>
        </w:rPr>
        <w:t>e</w:t>
      </w:r>
      <w:r w:rsidRPr="00802BB2">
        <w:rPr>
          <w:rFonts w:eastAsia="Times New Roman" w:cstheme="minorHAnsi"/>
          <w:lang w:val="es-ES_tradnl" w:eastAsia="es-CL"/>
        </w:rPr>
        <w:t xml:space="preserve"> el ingreso de perro guía si acompaña a la persona. </w:t>
      </w:r>
      <w:r w:rsidR="00F16045" w:rsidRPr="00802BB2">
        <w:rPr>
          <w:rFonts w:eastAsia="Times New Roman" w:cstheme="minorHAnsi"/>
          <w:lang w:val="es-ES_tradnl" w:eastAsia="es-CL"/>
        </w:rPr>
        <w:t>C</w:t>
      </w:r>
      <w:r w:rsidR="00A062B9" w:rsidRPr="00802BB2">
        <w:rPr>
          <w:rFonts w:eastAsia="Times New Roman" w:cstheme="minorHAnsi"/>
          <w:lang w:val="es-ES_tradnl" w:eastAsia="es-CL"/>
        </w:rPr>
        <w:t xml:space="preserve">omente lo que va haciendo, dando referencias del lugar dónde están y de las personas presentes y sus funciones. </w:t>
      </w:r>
      <w:r w:rsidR="00F16045" w:rsidRPr="00802BB2">
        <w:rPr>
          <w:rFonts w:eastAsia="Times New Roman" w:cstheme="minorHAnsi"/>
          <w:lang w:val="es-ES_tradnl" w:eastAsia="es-CL"/>
        </w:rPr>
        <w:t xml:space="preserve">Dígale en qué consiste </w:t>
      </w:r>
      <w:r w:rsidR="00B73F2C" w:rsidRPr="00802BB2">
        <w:rPr>
          <w:rFonts w:eastAsia="Times New Roman" w:cstheme="minorHAnsi"/>
          <w:lang w:val="es-ES_tradnl" w:eastAsia="es-CL"/>
        </w:rPr>
        <w:t xml:space="preserve">la actuación judicial en </w:t>
      </w:r>
      <w:r w:rsidR="006E452E" w:rsidRPr="00802BB2">
        <w:rPr>
          <w:rFonts w:eastAsia="Times New Roman" w:cstheme="minorHAnsi"/>
          <w:lang w:val="es-ES_tradnl" w:eastAsia="es-CL"/>
        </w:rPr>
        <w:t xml:space="preserve">la </w:t>
      </w:r>
      <w:r w:rsidR="00B73F2C" w:rsidRPr="00802BB2">
        <w:rPr>
          <w:rFonts w:eastAsia="Times New Roman" w:cstheme="minorHAnsi"/>
          <w:lang w:val="es-ES_tradnl" w:eastAsia="es-CL"/>
        </w:rPr>
        <w:t>que participará</w:t>
      </w:r>
      <w:r w:rsidR="00F16045" w:rsidRPr="00802BB2">
        <w:rPr>
          <w:rFonts w:eastAsia="Times New Roman" w:cstheme="minorHAnsi"/>
          <w:lang w:val="es-ES_tradnl" w:eastAsia="es-CL"/>
        </w:rPr>
        <w:t>. Si la persona solicita ingresar con un</w:t>
      </w:r>
      <w:r w:rsidR="004E7BBC" w:rsidRPr="00802BB2">
        <w:rPr>
          <w:rFonts w:eastAsia="Times New Roman" w:cstheme="minorHAnsi"/>
          <w:lang w:val="es-ES_tradnl" w:eastAsia="es-CL"/>
        </w:rPr>
        <w:t xml:space="preserve"> acompañante</w:t>
      </w:r>
      <w:r w:rsidR="00F16045" w:rsidRPr="00802BB2">
        <w:rPr>
          <w:rFonts w:eastAsia="Times New Roman" w:cstheme="minorHAnsi"/>
          <w:lang w:val="es-ES_tradnl" w:eastAsia="es-CL"/>
        </w:rPr>
        <w:t xml:space="preserve"> de su confianza esto debe ser permitido. </w:t>
      </w:r>
      <w:r w:rsidR="0087376C" w:rsidRPr="00802BB2">
        <w:rPr>
          <w:rFonts w:eastAsia="Times New Roman" w:cstheme="minorHAnsi"/>
          <w:lang w:val="es-ES_tradnl" w:eastAsia="es-CL"/>
        </w:rPr>
        <w:t xml:space="preserve">Se debe leer en voz alta la documentación antes de su firma. </w:t>
      </w:r>
      <w:r w:rsidR="00A062B9" w:rsidRPr="00802BB2">
        <w:rPr>
          <w:rFonts w:eastAsia="Times New Roman" w:cstheme="minorHAnsi"/>
          <w:lang w:val="es-ES_tradnl" w:eastAsia="es-CL"/>
        </w:rPr>
        <w:t>Despídase antes de alejarse.</w:t>
      </w:r>
    </w:p>
    <w:p w14:paraId="6B27F15A" w14:textId="77777777" w:rsidR="00DB367C" w:rsidRPr="00802BB2" w:rsidRDefault="00A062B9" w:rsidP="00DB367C">
      <w:pPr>
        <w:pStyle w:val="Prrafodelista"/>
        <w:numPr>
          <w:ilvl w:val="0"/>
          <w:numId w:val="22"/>
        </w:numPr>
        <w:spacing w:before="240" w:line="276" w:lineRule="auto"/>
        <w:jc w:val="both"/>
        <w:rPr>
          <w:rFonts w:eastAsia="Times New Roman" w:cstheme="minorHAnsi"/>
          <w:lang w:val="es-ES_tradnl"/>
        </w:rPr>
      </w:pPr>
      <w:r w:rsidRPr="00802BB2">
        <w:rPr>
          <w:rFonts w:eastAsia="Times New Roman" w:cstheme="minorHAnsi"/>
          <w:b/>
          <w:lang w:val="es-ES_tradnl"/>
        </w:rPr>
        <w:t>Persona sorda:</w:t>
      </w:r>
      <w:r w:rsidRPr="00802BB2">
        <w:rPr>
          <w:rFonts w:eastAsia="Times New Roman" w:cstheme="minorHAnsi"/>
          <w:lang w:val="es-ES_tradnl"/>
        </w:rPr>
        <w:t xml:space="preserve"> </w:t>
      </w:r>
    </w:p>
    <w:p w14:paraId="08EE8F35" w14:textId="7662EDB9" w:rsidR="00497A9B" w:rsidRPr="00802BB2" w:rsidRDefault="00A062B9" w:rsidP="004F22BD">
      <w:pPr>
        <w:spacing w:before="240" w:line="276" w:lineRule="auto"/>
        <w:ind w:firstLine="709"/>
        <w:jc w:val="both"/>
        <w:rPr>
          <w:rFonts w:eastAsia="Times New Roman" w:cstheme="minorHAnsi"/>
          <w:lang w:val="es-ES_tradnl"/>
        </w:rPr>
      </w:pPr>
      <w:r w:rsidRPr="00802BB2">
        <w:rPr>
          <w:rFonts w:eastAsia="Times New Roman" w:cstheme="minorHAnsi"/>
          <w:lang w:val="es-ES_tradnl"/>
        </w:rPr>
        <w:t>Asegúrese que l</w:t>
      </w:r>
      <w:r w:rsidR="004E7BBC" w:rsidRPr="00802BB2">
        <w:rPr>
          <w:rFonts w:eastAsia="Times New Roman" w:cstheme="minorHAnsi"/>
          <w:lang w:val="es-ES_tradnl"/>
        </w:rPr>
        <w:t>a persona le</w:t>
      </w:r>
      <w:r w:rsidRPr="00802BB2">
        <w:rPr>
          <w:rFonts w:eastAsia="Times New Roman" w:cstheme="minorHAnsi"/>
          <w:lang w:val="es-ES_tradnl"/>
        </w:rPr>
        <w:t xml:space="preserve"> esté prestando atención antes de dirigirle la palabra. Si no le está dando la cara, </w:t>
      </w:r>
      <w:r w:rsidR="004E7BBC" w:rsidRPr="00802BB2">
        <w:rPr>
          <w:rFonts w:eastAsia="Times New Roman" w:cstheme="minorHAnsi"/>
          <w:lang w:val="es-ES_tradnl"/>
        </w:rPr>
        <w:t>puede tocarle</w:t>
      </w:r>
      <w:r w:rsidRPr="00802BB2">
        <w:rPr>
          <w:rFonts w:eastAsia="Times New Roman" w:cstheme="minorHAnsi"/>
          <w:lang w:val="es-ES_tradnl"/>
        </w:rPr>
        <w:t xml:space="preserve"> el hombro</w:t>
      </w:r>
      <w:r w:rsidR="004E7BBC" w:rsidRPr="00802BB2">
        <w:rPr>
          <w:rFonts w:eastAsia="Times New Roman" w:cstheme="minorHAnsi"/>
          <w:lang w:val="es-ES_tradnl"/>
        </w:rPr>
        <w:t xml:space="preserve"> para que se gire y poder interactuar</w:t>
      </w:r>
      <w:r w:rsidRPr="00802BB2">
        <w:rPr>
          <w:rFonts w:eastAsia="Times New Roman" w:cstheme="minorHAnsi"/>
          <w:lang w:val="es-ES_tradnl"/>
        </w:rPr>
        <w:t xml:space="preserve">. No grite ni exagere su forma de hablar. </w:t>
      </w:r>
      <w:r w:rsidR="00063FC5" w:rsidRPr="00802BB2">
        <w:rPr>
          <w:rFonts w:eastAsia="Times New Roman" w:cstheme="minorHAnsi"/>
          <w:lang w:val="es-ES_tradnl"/>
        </w:rPr>
        <w:t xml:space="preserve">Mire a la persona directamente y no se cubra la boca para que ella pueda apreciar su expresión facial. En caso del uso obligatorio de mascarillas por la pandemia del COVID-19, se recomienda que la funcionaria o funcionario disponga de mascarillas transparentes que faciliten la comunicación. </w:t>
      </w:r>
    </w:p>
    <w:p w14:paraId="5BDE6180" w14:textId="2BDDABE6" w:rsidR="004E7BBC" w:rsidRPr="00802BB2" w:rsidRDefault="004E7BBC" w:rsidP="004F22BD">
      <w:pPr>
        <w:spacing w:before="240" w:line="276" w:lineRule="auto"/>
        <w:ind w:firstLine="709"/>
        <w:jc w:val="both"/>
        <w:rPr>
          <w:rFonts w:eastAsia="Times New Roman" w:cstheme="minorHAnsi"/>
          <w:lang w:val="es-ES_tradnl"/>
        </w:rPr>
      </w:pPr>
      <w:r w:rsidRPr="00802BB2">
        <w:rPr>
          <w:rFonts w:eastAsia="Times New Roman" w:cstheme="minorHAnsi"/>
          <w:lang w:val="es-ES_tradnl"/>
        </w:rPr>
        <w:t>Solo algunas personas sordas leen los labios, pero si es el caso, será útil que usted module bien.</w:t>
      </w:r>
      <w:r w:rsidR="00A062B9" w:rsidRPr="00802BB2">
        <w:rPr>
          <w:rFonts w:eastAsia="Times New Roman" w:cstheme="minorHAnsi"/>
          <w:lang w:val="es-ES_tradnl"/>
        </w:rPr>
        <w:t xml:space="preserve"> </w:t>
      </w:r>
      <w:r w:rsidRPr="00802BB2">
        <w:rPr>
          <w:rFonts w:eastAsia="Times New Roman" w:cstheme="minorHAnsi"/>
          <w:lang w:val="es-ES_tradnl"/>
        </w:rPr>
        <w:t xml:space="preserve">Si la persona concurre con su propio intérprete </w:t>
      </w:r>
      <w:r w:rsidR="00512F94" w:rsidRPr="00802BB2">
        <w:rPr>
          <w:rFonts w:eastAsia="Times New Roman" w:cstheme="minorHAnsi"/>
          <w:lang w:val="es-ES_tradnl"/>
        </w:rPr>
        <w:t xml:space="preserve">en lengua de señas, no olvide que la interacción es con la persona sorda y por ello debe dirigirse a esa persona. </w:t>
      </w:r>
      <w:r w:rsidR="00A062B9" w:rsidRPr="00802BB2">
        <w:rPr>
          <w:rFonts w:eastAsia="Times New Roman" w:cstheme="minorHAnsi"/>
          <w:lang w:val="es-ES_tradnl"/>
        </w:rPr>
        <w:t xml:space="preserve">Pregúntele cuál es la mejor forma de comunicarse con ella. Si no </w:t>
      </w:r>
      <w:r w:rsidR="0087376C" w:rsidRPr="00802BB2">
        <w:rPr>
          <w:rFonts w:eastAsia="Times New Roman" w:cstheme="minorHAnsi"/>
          <w:lang w:val="es-ES_tradnl"/>
        </w:rPr>
        <w:t>se comunica a través de</w:t>
      </w:r>
      <w:r w:rsidR="00A062B9" w:rsidRPr="00802BB2">
        <w:rPr>
          <w:rFonts w:eastAsia="Times New Roman" w:cstheme="minorHAnsi"/>
          <w:lang w:val="es-ES_tradnl"/>
        </w:rPr>
        <w:t xml:space="preserve"> lengua de señas, </w:t>
      </w:r>
      <w:r w:rsidR="00E64C5A" w:rsidRPr="00802BB2">
        <w:rPr>
          <w:rFonts w:eastAsia="Times New Roman" w:cstheme="minorHAnsi"/>
          <w:lang w:val="es-ES_tradnl"/>
        </w:rPr>
        <w:t xml:space="preserve">puede ser de utilidad el </w:t>
      </w:r>
      <w:r w:rsidR="00A062B9" w:rsidRPr="00802BB2">
        <w:rPr>
          <w:rFonts w:eastAsia="Times New Roman" w:cstheme="minorHAnsi"/>
          <w:lang w:val="es-ES_tradnl"/>
        </w:rPr>
        <w:t>lenguaje gestual</w:t>
      </w:r>
      <w:r w:rsidR="00E64C5A" w:rsidRPr="00802BB2">
        <w:rPr>
          <w:rFonts w:eastAsia="Times New Roman" w:cstheme="minorHAnsi"/>
          <w:lang w:val="es-ES_tradnl"/>
        </w:rPr>
        <w:t>, apoyos visuales</w:t>
      </w:r>
      <w:r w:rsidR="0087376C" w:rsidRPr="00802BB2">
        <w:rPr>
          <w:rFonts w:eastAsia="Times New Roman" w:cstheme="minorHAnsi"/>
          <w:lang w:val="es-ES_tradnl"/>
        </w:rPr>
        <w:t xml:space="preserve">, </w:t>
      </w:r>
      <w:r w:rsidR="00A062B9" w:rsidRPr="00802BB2">
        <w:rPr>
          <w:rFonts w:eastAsia="Times New Roman" w:cstheme="minorHAnsi"/>
          <w:lang w:val="es-ES_tradnl"/>
        </w:rPr>
        <w:t xml:space="preserve">lenguaje </w:t>
      </w:r>
      <w:r w:rsidR="00063FC5" w:rsidRPr="00802BB2">
        <w:rPr>
          <w:rFonts w:eastAsia="Times New Roman" w:cstheme="minorHAnsi"/>
          <w:lang w:val="es-ES_tradnl"/>
        </w:rPr>
        <w:t xml:space="preserve">sencillo </w:t>
      </w:r>
      <w:r w:rsidR="00A062B9" w:rsidRPr="00802BB2">
        <w:rPr>
          <w:rFonts w:eastAsia="Times New Roman" w:cstheme="minorHAnsi"/>
          <w:lang w:val="es-ES_tradnl"/>
        </w:rPr>
        <w:t>por escrito, así como infografías preparadas con anterioridad</w:t>
      </w:r>
      <w:r w:rsidRPr="00802BB2">
        <w:rPr>
          <w:rFonts w:eastAsia="Times New Roman" w:cstheme="minorHAnsi"/>
          <w:lang w:val="es-ES_tradnl"/>
        </w:rPr>
        <w:t>.</w:t>
      </w:r>
    </w:p>
    <w:p w14:paraId="131C913C" w14:textId="3A17B60A" w:rsidR="00A062B9" w:rsidRPr="00802BB2" w:rsidRDefault="00F43ED6" w:rsidP="004F22BD">
      <w:pPr>
        <w:spacing w:before="240" w:line="276" w:lineRule="auto"/>
        <w:ind w:firstLine="709"/>
        <w:jc w:val="both"/>
        <w:rPr>
          <w:rFonts w:eastAsia="Times New Roman" w:cstheme="minorHAnsi"/>
          <w:lang w:val="es-ES_tradnl"/>
        </w:rPr>
      </w:pPr>
      <w:r w:rsidRPr="00802BB2">
        <w:rPr>
          <w:rFonts w:eastAsia="Times New Roman" w:cstheme="minorHAnsi"/>
          <w:lang w:val="es-ES_tradnl"/>
        </w:rPr>
        <w:t>Las funcionarias y funcionarios</w:t>
      </w:r>
      <w:r w:rsidR="00512F94" w:rsidRPr="00802BB2">
        <w:rPr>
          <w:rFonts w:eastAsia="Times New Roman" w:cstheme="minorHAnsi"/>
          <w:lang w:val="es-ES_tradnl"/>
        </w:rPr>
        <w:t xml:space="preserve"> de justicia deb</w:t>
      </w:r>
      <w:r w:rsidRPr="00802BB2">
        <w:rPr>
          <w:rFonts w:eastAsia="Times New Roman" w:cstheme="minorHAnsi"/>
          <w:lang w:val="es-ES_tradnl"/>
        </w:rPr>
        <w:t>erán</w:t>
      </w:r>
      <w:r w:rsidR="00512F94" w:rsidRPr="00802BB2">
        <w:rPr>
          <w:rFonts w:eastAsia="Times New Roman" w:cstheme="minorHAnsi"/>
          <w:lang w:val="es-ES_tradnl"/>
        </w:rPr>
        <w:t xml:space="preserve"> manejar como mínimo el nivel básico de lengua de señas para las atenciones generales. Luego, para las diligencias judiciales como una declaración o una </w:t>
      </w:r>
      <w:r w:rsidR="00512F94" w:rsidRPr="00802BB2">
        <w:rPr>
          <w:rFonts w:eastAsia="Times New Roman" w:cstheme="minorHAnsi"/>
          <w:bCs/>
          <w:lang w:val="es-ES_tradnl"/>
        </w:rPr>
        <w:t>audienci</w:t>
      </w:r>
      <w:r w:rsidR="00B85B2B" w:rsidRPr="00802BB2">
        <w:rPr>
          <w:rFonts w:eastAsia="Times New Roman" w:cstheme="minorHAnsi"/>
          <w:bCs/>
          <w:lang w:val="es-ES_tradnl"/>
        </w:rPr>
        <w:t>a</w:t>
      </w:r>
      <w:r w:rsidR="008C1E69" w:rsidRPr="00802BB2">
        <w:rPr>
          <w:rFonts w:eastAsia="Times New Roman" w:cstheme="minorHAnsi"/>
          <w:lang w:val="es-ES_tradnl"/>
        </w:rPr>
        <w:t>, se</w:t>
      </w:r>
      <w:r w:rsidR="00DA5E68" w:rsidRPr="00802BB2">
        <w:rPr>
          <w:rFonts w:eastAsia="Times New Roman" w:cstheme="minorHAnsi"/>
          <w:lang w:val="es-ES_tradnl"/>
        </w:rPr>
        <w:t xml:space="preserve"> debe contar con intérpretes </w:t>
      </w:r>
      <w:r w:rsidR="00A062B9" w:rsidRPr="00802BB2">
        <w:rPr>
          <w:rFonts w:eastAsia="Times New Roman" w:cstheme="minorHAnsi"/>
          <w:lang w:val="es-ES_tradnl"/>
        </w:rPr>
        <w:t>profesionale</w:t>
      </w:r>
      <w:r w:rsidR="00512F94" w:rsidRPr="00802BB2">
        <w:rPr>
          <w:rFonts w:eastAsia="Times New Roman" w:cstheme="minorHAnsi"/>
          <w:lang w:val="es-ES_tradnl"/>
        </w:rPr>
        <w:t>s</w:t>
      </w:r>
      <w:r w:rsidR="00A062B9" w:rsidRPr="00802BB2">
        <w:rPr>
          <w:rFonts w:eastAsia="Times New Roman" w:cstheme="minorHAnsi"/>
          <w:lang w:val="es-ES_tradnl"/>
        </w:rPr>
        <w:t xml:space="preserve"> en lengua de señas</w:t>
      </w:r>
      <w:r w:rsidR="00DA5E68" w:rsidRPr="00802BB2">
        <w:rPr>
          <w:rFonts w:eastAsia="Times New Roman" w:cstheme="minorHAnsi"/>
          <w:lang w:val="es-ES_tradnl"/>
        </w:rPr>
        <w:t xml:space="preserve"> del respectivo país</w:t>
      </w:r>
      <w:r w:rsidR="00A062B9" w:rsidRPr="00802BB2">
        <w:rPr>
          <w:rFonts w:eastAsia="Times New Roman" w:cstheme="minorHAnsi"/>
          <w:lang w:val="es-ES_tradnl"/>
        </w:rPr>
        <w:t xml:space="preserve">. </w:t>
      </w:r>
      <w:r w:rsidR="00E64C5A" w:rsidRPr="00802BB2">
        <w:rPr>
          <w:rFonts w:eastAsia="Times New Roman" w:cstheme="minorHAnsi"/>
          <w:lang w:val="es-ES_tradnl"/>
        </w:rPr>
        <w:t>L</w:t>
      </w:r>
      <w:r w:rsidR="00B22B1C" w:rsidRPr="00802BB2">
        <w:rPr>
          <w:rFonts w:eastAsia="Times New Roman" w:cstheme="minorHAnsi"/>
          <w:lang w:val="es-ES_tradnl"/>
        </w:rPr>
        <w:t>as y los</w:t>
      </w:r>
      <w:r w:rsidR="00E64C5A" w:rsidRPr="00802BB2">
        <w:rPr>
          <w:rFonts w:eastAsia="Times New Roman" w:cstheme="minorHAnsi"/>
          <w:lang w:val="es-ES_tradnl"/>
        </w:rPr>
        <w:t xml:space="preserve"> intérpretes deben estar </w:t>
      </w:r>
      <w:r w:rsidR="00DA5E68" w:rsidRPr="00802BB2">
        <w:rPr>
          <w:rFonts w:eastAsia="Times New Roman" w:cstheme="minorHAnsi"/>
          <w:lang w:val="es-ES_tradnl"/>
        </w:rPr>
        <w:t xml:space="preserve">registrados como peritos por </w:t>
      </w:r>
      <w:r w:rsidR="00E64C5A" w:rsidRPr="00802BB2">
        <w:rPr>
          <w:rFonts w:eastAsia="Times New Roman" w:cstheme="minorHAnsi"/>
          <w:lang w:val="es-ES_tradnl"/>
        </w:rPr>
        <w:t xml:space="preserve">el Poder Judicial para garantizar imparcialidad. </w:t>
      </w:r>
      <w:r w:rsidR="00DA5E68" w:rsidRPr="00802BB2">
        <w:rPr>
          <w:rFonts w:eastAsia="Times New Roman" w:cstheme="minorHAnsi"/>
          <w:lang w:val="es-ES_tradnl"/>
        </w:rPr>
        <w:t xml:space="preserve">Si la persona lleva un intérprete de su confianza, debe preferirse a este último. </w:t>
      </w:r>
    </w:p>
    <w:p w14:paraId="6FC06231" w14:textId="77777777" w:rsidR="00DB367C" w:rsidRPr="00802BB2" w:rsidRDefault="00A062B9" w:rsidP="00DB367C">
      <w:pPr>
        <w:pStyle w:val="Prrafodelista"/>
        <w:numPr>
          <w:ilvl w:val="0"/>
          <w:numId w:val="22"/>
        </w:numPr>
        <w:spacing w:before="240"/>
        <w:jc w:val="both"/>
        <w:rPr>
          <w:rFonts w:eastAsia="Times New Roman" w:cstheme="minorHAnsi"/>
          <w:lang w:val="es-ES_tradnl" w:eastAsia="es-CL"/>
        </w:rPr>
      </w:pPr>
      <w:r w:rsidRPr="00802BB2">
        <w:rPr>
          <w:rFonts w:eastAsia="Times New Roman" w:cstheme="minorHAnsi"/>
          <w:b/>
          <w:lang w:val="es-ES_tradnl" w:eastAsia="es-CL"/>
        </w:rPr>
        <w:t>Persona con d</w:t>
      </w:r>
      <w:r w:rsidR="00B2672F" w:rsidRPr="00802BB2">
        <w:rPr>
          <w:rFonts w:eastAsia="Times New Roman" w:cstheme="minorHAnsi"/>
          <w:b/>
          <w:lang w:val="es-ES_tradnl" w:eastAsia="es-CL"/>
        </w:rPr>
        <w:t>iscapacidad intelectual:</w:t>
      </w:r>
      <w:r w:rsidR="00B2672F" w:rsidRPr="00802BB2">
        <w:rPr>
          <w:rFonts w:eastAsia="Times New Roman" w:cstheme="minorHAnsi"/>
          <w:lang w:val="es-ES_tradnl" w:eastAsia="es-CL"/>
        </w:rPr>
        <w:t xml:space="preserve"> </w:t>
      </w:r>
    </w:p>
    <w:p w14:paraId="3E2819B6" w14:textId="4283F560" w:rsidR="00202852" w:rsidRPr="00802BB2" w:rsidRDefault="00DA5E68" w:rsidP="004F22BD">
      <w:pPr>
        <w:spacing w:before="240"/>
        <w:ind w:firstLine="709"/>
        <w:jc w:val="both"/>
        <w:rPr>
          <w:rFonts w:eastAsia="Times New Roman" w:cstheme="minorHAnsi"/>
          <w:lang w:val="es-ES_tradnl" w:eastAsia="es-CL"/>
        </w:rPr>
      </w:pPr>
      <w:r w:rsidRPr="00802BB2">
        <w:rPr>
          <w:rFonts w:eastAsia="Times New Roman" w:cstheme="minorHAnsi"/>
          <w:lang w:val="es-ES_tradnl" w:eastAsia="es-CL"/>
        </w:rPr>
        <w:t xml:space="preserve">Se considera necesario </w:t>
      </w:r>
      <w:r w:rsidR="00B2672F" w:rsidRPr="00802BB2">
        <w:rPr>
          <w:rFonts w:eastAsia="Times New Roman" w:cstheme="minorHAnsi"/>
          <w:lang w:val="es-ES_tradnl" w:eastAsia="es-CL"/>
        </w:rPr>
        <w:t xml:space="preserve">establecer </w:t>
      </w:r>
      <w:r w:rsidRPr="00802BB2">
        <w:rPr>
          <w:rFonts w:eastAsia="Times New Roman" w:cstheme="minorHAnsi"/>
          <w:lang w:val="es-ES_tradnl" w:eastAsia="es-CL"/>
        </w:rPr>
        <w:t xml:space="preserve">una </w:t>
      </w:r>
      <w:r w:rsidR="00B2672F" w:rsidRPr="00802BB2">
        <w:rPr>
          <w:rFonts w:eastAsia="Times New Roman" w:cstheme="minorHAnsi"/>
          <w:lang w:val="es-ES_tradnl" w:eastAsia="es-CL"/>
        </w:rPr>
        <w:t>relación de confianza</w:t>
      </w:r>
      <w:r w:rsidRPr="00802BB2">
        <w:rPr>
          <w:rFonts w:eastAsia="Times New Roman" w:cstheme="minorHAnsi"/>
          <w:lang w:val="es-ES_tradnl" w:eastAsia="es-CL"/>
        </w:rPr>
        <w:t xml:space="preserve"> con la persona antes de iniciar la diligencia judicial. </w:t>
      </w:r>
      <w:r w:rsidR="003223A7" w:rsidRPr="00802BB2">
        <w:rPr>
          <w:rFonts w:eastAsia="Times New Roman" w:cstheme="minorHAnsi"/>
          <w:lang w:val="es-ES_tradnl" w:eastAsia="es-CL"/>
        </w:rPr>
        <w:t>Si la persona es mayor de edad no la infantilice.</w:t>
      </w:r>
      <w:r w:rsidR="007E585A" w:rsidRPr="00802BB2">
        <w:rPr>
          <w:rFonts w:eastAsia="Times New Roman" w:cstheme="minorHAnsi"/>
          <w:lang w:val="es-ES_tradnl" w:eastAsia="es-CL"/>
        </w:rPr>
        <w:t xml:space="preserve"> </w:t>
      </w:r>
      <w:r w:rsidR="00206582" w:rsidRPr="00802BB2">
        <w:rPr>
          <w:rFonts w:eastAsia="Times New Roman" w:cstheme="minorHAnsi"/>
          <w:lang w:val="es-ES_tradnl" w:eastAsia="es-CL"/>
        </w:rPr>
        <w:t>Se deben</w:t>
      </w:r>
      <w:r w:rsidR="007E585A" w:rsidRPr="00802BB2">
        <w:rPr>
          <w:rFonts w:eastAsia="Times New Roman" w:cstheme="minorHAnsi"/>
          <w:lang w:val="es-ES_tradnl" w:eastAsia="es-CL"/>
        </w:rPr>
        <w:t xml:space="preserve"> realizar </w:t>
      </w:r>
      <w:r w:rsidR="00B2672F" w:rsidRPr="00802BB2">
        <w:rPr>
          <w:rFonts w:eastAsia="Times New Roman" w:cstheme="minorHAnsi"/>
          <w:lang w:val="es-ES_tradnl" w:eastAsia="es-CL"/>
        </w:rPr>
        <w:t>preguntas abiertas</w:t>
      </w:r>
      <w:r w:rsidR="007E585A" w:rsidRPr="00802BB2">
        <w:rPr>
          <w:rFonts w:eastAsia="Times New Roman" w:cstheme="minorHAnsi"/>
          <w:lang w:val="es-ES_tradnl" w:eastAsia="es-CL"/>
        </w:rPr>
        <w:t xml:space="preserve"> que no sean inductivas</w:t>
      </w:r>
      <w:r w:rsidR="00B2672F" w:rsidRPr="00802BB2">
        <w:rPr>
          <w:rFonts w:eastAsia="Times New Roman" w:cstheme="minorHAnsi"/>
          <w:lang w:val="es-ES_tradnl" w:eastAsia="es-CL"/>
        </w:rPr>
        <w:t>,</w:t>
      </w:r>
      <w:r w:rsidR="007E585A" w:rsidRPr="00802BB2">
        <w:rPr>
          <w:rFonts w:eastAsia="Times New Roman" w:cstheme="minorHAnsi"/>
          <w:lang w:val="es-ES_tradnl" w:eastAsia="es-CL"/>
        </w:rPr>
        <w:t xml:space="preserve"> utilizar un </w:t>
      </w:r>
      <w:r w:rsidR="00B2672F" w:rsidRPr="00802BB2">
        <w:rPr>
          <w:rFonts w:eastAsia="Times New Roman" w:cstheme="minorHAnsi"/>
          <w:lang w:val="es-ES_tradnl" w:eastAsia="es-CL"/>
        </w:rPr>
        <w:t>lenguaje sencillo</w:t>
      </w:r>
      <w:r w:rsidR="007E585A" w:rsidRPr="00802BB2">
        <w:rPr>
          <w:rFonts w:eastAsia="Times New Roman" w:cstheme="minorHAnsi"/>
          <w:lang w:val="es-ES_tradnl" w:eastAsia="es-CL"/>
        </w:rPr>
        <w:t>,</w:t>
      </w:r>
      <w:r w:rsidR="00774C0D" w:rsidRPr="00802BB2">
        <w:rPr>
          <w:rFonts w:eastAsia="Times New Roman" w:cstheme="minorHAnsi"/>
          <w:lang w:val="es-ES_tradnl" w:eastAsia="es-CL"/>
        </w:rPr>
        <w:t xml:space="preserve"> oraciones breves</w:t>
      </w:r>
      <w:r w:rsidR="00B2672F" w:rsidRPr="00802BB2">
        <w:rPr>
          <w:rFonts w:eastAsia="Times New Roman" w:cstheme="minorHAnsi"/>
          <w:lang w:val="es-ES_tradnl" w:eastAsia="es-CL"/>
        </w:rPr>
        <w:t xml:space="preserve">, </w:t>
      </w:r>
      <w:r w:rsidR="007E585A" w:rsidRPr="00802BB2">
        <w:rPr>
          <w:rFonts w:eastAsia="Times New Roman" w:cstheme="minorHAnsi"/>
          <w:lang w:val="es-ES_tradnl" w:eastAsia="es-CL"/>
        </w:rPr>
        <w:t xml:space="preserve">y ofrecer </w:t>
      </w:r>
      <w:r w:rsidR="00B2672F" w:rsidRPr="00802BB2">
        <w:rPr>
          <w:rFonts w:eastAsia="Times New Roman" w:cstheme="minorHAnsi"/>
          <w:lang w:val="es-ES_tradnl" w:eastAsia="es-CL"/>
        </w:rPr>
        <w:t xml:space="preserve">descansos </w:t>
      </w:r>
      <w:r w:rsidR="007E585A" w:rsidRPr="00802BB2">
        <w:rPr>
          <w:rFonts w:eastAsia="Times New Roman" w:cstheme="minorHAnsi"/>
          <w:lang w:val="es-ES_tradnl" w:eastAsia="es-CL"/>
        </w:rPr>
        <w:t>con la frecuencia que la persona solicite.</w:t>
      </w:r>
      <w:r w:rsidR="00B2672F" w:rsidRPr="00802BB2">
        <w:rPr>
          <w:rFonts w:eastAsia="Times New Roman" w:cstheme="minorHAnsi"/>
          <w:lang w:val="es-ES_tradnl" w:eastAsia="es-CL"/>
        </w:rPr>
        <w:t xml:space="preserve"> </w:t>
      </w:r>
      <w:r w:rsidR="007E585A" w:rsidRPr="00802BB2">
        <w:rPr>
          <w:rFonts w:eastAsia="Times New Roman" w:cstheme="minorHAnsi"/>
          <w:lang w:val="es-ES_tradnl" w:eastAsia="es-CL"/>
        </w:rPr>
        <w:t>Explicar a la persona</w:t>
      </w:r>
      <w:r w:rsidR="00B2672F" w:rsidRPr="00802BB2">
        <w:rPr>
          <w:rFonts w:eastAsia="Times New Roman" w:cstheme="minorHAnsi"/>
          <w:lang w:val="es-ES_tradnl" w:eastAsia="es-CL"/>
        </w:rPr>
        <w:t xml:space="preserve"> la materia que se revisará, las funciones de las personas presentes, </w:t>
      </w:r>
      <w:r w:rsidR="003223A7" w:rsidRPr="00802BB2">
        <w:rPr>
          <w:rFonts w:eastAsia="Times New Roman" w:cstheme="minorHAnsi"/>
          <w:lang w:val="es-ES_tradnl" w:eastAsia="es-CL"/>
        </w:rPr>
        <w:t>las etapas del proceso</w:t>
      </w:r>
      <w:r w:rsidR="00B2672F" w:rsidRPr="00802BB2">
        <w:rPr>
          <w:rFonts w:eastAsia="Times New Roman" w:cstheme="minorHAnsi"/>
          <w:lang w:val="es-ES_tradnl" w:eastAsia="es-CL"/>
        </w:rPr>
        <w:t xml:space="preserve">, la sentencia, </w:t>
      </w:r>
      <w:r w:rsidR="007E585A" w:rsidRPr="00802BB2">
        <w:rPr>
          <w:rFonts w:eastAsia="Times New Roman" w:cstheme="minorHAnsi"/>
          <w:lang w:val="es-ES_tradnl" w:eastAsia="es-CL"/>
        </w:rPr>
        <w:t>y considera</w:t>
      </w:r>
      <w:r w:rsidR="003223A7" w:rsidRPr="00802BB2">
        <w:rPr>
          <w:rFonts w:eastAsia="Times New Roman" w:cstheme="minorHAnsi"/>
          <w:lang w:val="es-ES_tradnl" w:eastAsia="es-CL"/>
        </w:rPr>
        <w:t>r</w:t>
      </w:r>
      <w:r w:rsidR="007E585A" w:rsidRPr="00802BB2">
        <w:rPr>
          <w:rFonts w:eastAsia="Times New Roman" w:cstheme="minorHAnsi"/>
          <w:lang w:val="es-ES_tradnl" w:eastAsia="es-CL"/>
        </w:rPr>
        <w:t xml:space="preserve"> el </w:t>
      </w:r>
      <w:r w:rsidR="00B2672F" w:rsidRPr="00802BB2">
        <w:rPr>
          <w:rFonts w:eastAsia="Times New Roman" w:cstheme="minorHAnsi"/>
          <w:lang w:val="es-ES_tradnl" w:eastAsia="es-CL"/>
        </w:rPr>
        <w:t xml:space="preserve">formato </w:t>
      </w:r>
      <w:r w:rsidR="007E585A" w:rsidRPr="00802BB2">
        <w:rPr>
          <w:rFonts w:eastAsia="Times New Roman" w:cstheme="minorHAnsi"/>
          <w:lang w:val="es-ES_tradnl" w:eastAsia="es-CL"/>
        </w:rPr>
        <w:t xml:space="preserve">de </w:t>
      </w:r>
      <w:r w:rsidR="00B2672F" w:rsidRPr="00802BB2">
        <w:rPr>
          <w:rFonts w:eastAsia="Times New Roman" w:cstheme="minorHAnsi"/>
          <w:lang w:val="es-ES_tradnl" w:eastAsia="es-CL"/>
        </w:rPr>
        <w:t>lectura fácil</w:t>
      </w:r>
      <w:r w:rsidR="007E585A" w:rsidRPr="00802BB2">
        <w:rPr>
          <w:rFonts w:eastAsia="Times New Roman" w:cstheme="minorHAnsi"/>
          <w:lang w:val="es-ES_tradnl" w:eastAsia="es-CL"/>
        </w:rPr>
        <w:t xml:space="preserve"> si así lo prefiere</w:t>
      </w:r>
      <w:r w:rsidR="00774C0D" w:rsidRPr="00802BB2">
        <w:rPr>
          <w:rFonts w:eastAsia="Times New Roman" w:cstheme="minorHAnsi"/>
          <w:lang w:val="es-ES_tradnl" w:eastAsia="es-CL"/>
        </w:rPr>
        <w:t>. No use siglas ni nombres técnicos en las explicaciones</w:t>
      </w:r>
      <w:r w:rsidR="008C1E69" w:rsidRPr="00802BB2">
        <w:rPr>
          <w:rFonts w:eastAsia="Times New Roman" w:cstheme="minorHAnsi"/>
          <w:lang w:val="es-ES_tradnl" w:eastAsia="es-CL"/>
        </w:rPr>
        <w:t>.</w:t>
      </w:r>
      <w:r w:rsidR="00E86A63" w:rsidRPr="00802BB2">
        <w:rPr>
          <w:rFonts w:eastAsia="Times New Roman" w:cstheme="minorHAnsi"/>
          <w:lang w:val="es-ES_tradnl" w:eastAsia="es-CL"/>
        </w:rPr>
        <w:t xml:space="preserve"> </w:t>
      </w:r>
      <w:r w:rsidR="008C1E69" w:rsidRPr="00802BB2">
        <w:rPr>
          <w:rFonts w:eastAsia="Times New Roman" w:cstheme="minorHAnsi"/>
          <w:lang w:val="es-ES_tradnl" w:eastAsia="es-CL"/>
        </w:rPr>
        <w:t>H</w:t>
      </w:r>
      <w:r w:rsidR="00E86A63" w:rsidRPr="00802BB2">
        <w:rPr>
          <w:rFonts w:eastAsia="Times New Roman" w:cstheme="minorHAnsi"/>
          <w:lang w:val="es-ES_tradnl" w:eastAsia="es-CL"/>
        </w:rPr>
        <w:t>a</w:t>
      </w:r>
      <w:r w:rsidR="008C1E69" w:rsidRPr="00802BB2">
        <w:rPr>
          <w:rFonts w:eastAsia="Times New Roman" w:cstheme="minorHAnsi"/>
          <w:lang w:val="es-ES_tradnl" w:eastAsia="es-CL"/>
        </w:rPr>
        <w:t>ga</w:t>
      </w:r>
      <w:r w:rsidR="00E86A63" w:rsidRPr="00802BB2">
        <w:rPr>
          <w:rFonts w:eastAsia="Times New Roman" w:cstheme="minorHAnsi"/>
          <w:lang w:val="es-ES_tradnl" w:eastAsia="es-CL"/>
        </w:rPr>
        <w:t xml:space="preserve"> preguntas sencillas y directas. Esto debe respetarse por todos quienes interactúen con la persona con discapacidad</w:t>
      </w:r>
      <w:r w:rsidR="00513C4E" w:rsidRPr="00802BB2">
        <w:rPr>
          <w:rFonts w:eastAsia="Times New Roman" w:cstheme="minorHAnsi"/>
          <w:lang w:val="es-ES_tradnl" w:eastAsia="es-CL"/>
        </w:rPr>
        <w:t xml:space="preserve"> intelectual</w:t>
      </w:r>
      <w:r w:rsidR="00E86A63" w:rsidRPr="00802BB2">
        <w:rPr>
          <w:rFonts w:eastAsia="Times New Roman" w:cstheme="minorHAnsi"/>
          <w:lang w:val="es-ES_tradnl" w:eastAsia="es-CL"/>
        </w:rPr>
        <w:t xml:space="preserve"> en la audiencia o en el recinto judicial. </w:t>
      </w:r>
      <w:r w:rsidR="006203BD" w:rsidRPr="00802BB2">
        <w:rPr>
          <w:rFonts w:eastAsia="Times New Roman" w:cstheme="minorHAnsi"/>
          <w:lang w:val="es-ES_tradnl" w:eastAsia="es-CL"/>
        </w:rPr>
        <w:t xml:space="preserve"> Preguntar </w:t>
      </w:r>
      <w:r w:rsidR="003223A7" w:rsidRPr="00802BB2">
        <w:rPr>
          <w:rFonts w:eastAsia="Times New Roman" w:cstheme="minorHAnsi"/>
          <w:lang w:val="es-ES_tradnl" w:eastAsia="es-CL"/>
        </w:rPr>
        <w:t xml:space="preserve">si hay algo que no entendió y ofrecerle volver a explicar. </w:t>
      </w:r>
      <w:r w:rsidR="00A062B9" w:rsidRPr="00802BB2">
        <w:rPr>
          <w:rFonts w:eastAsia="Times New Roman" w:cstheme="minorHAnsi"/>
          <w:lang w:val="es-ES_tradnl" w:eastAsia="es-CL"/>
        </w:rPr>
        <w:t xml:space="preserve"> </w:t>
      </w:r>
      <w:r w:rsidR="003223A7" w:rsidRPr="00802BB2">
        <w:rPr>
          <w:rFonts w:eastAsia="Times New Roman" w:cstheme="minorHAnsi"/>
          <w:lang w:val="es-ES_tradnl" w:eastAsia="es-CL"/>
        </w:rPr>
        <w:t xml:space="preserve">Considerar el uso </w:t>
      </w:r>
      <w:r w:rsidR="006203BD" w:rsidRPr="00802BB2">
        <w:rPr>
          <w:rFonts w:eastAsia="Times New Roman" w:cstheme="minorHAnsi"/>
          <w:lang w:val="es-ES_tradnl" w:eastAsia="es-CL"/>
        </w:rPr>
        <w:t>de pictogramas, visitas previas a la sala de audiencia, mantener objetos de apego</w:t>
      </w:r>
      <w:r w:rsidR="008C1E69" w:rsidRPr="00802BB2">
        <w:rPr>
          <w:rFonts w:eastAsia="Times New Roman" w:cstheme="minorHAnsi"/>
          <w:lang w:val="es-ES_tradnl" w:eastAsia="es-CL"/>
        </w:rPr>
        <w:t xml:space="preserve"> y</w:t>
      </w:r>
      <w:r w:rsidR="006203BD" w:rsidRPr="00802BB2">
        <w:rPr>
          <w:rFonts w:eastAsia="Times New Roman" w:cstheme="minorHAnsi"/>
          <w:lang w:val="es-ES_tradnl" w:eastAsia="es-CL"/>
        </w:rPr>
        <w:t xml:space="preserve"> flexibilizar protocolos en general.</w:t>
      </w:r>
      <w:r w:rsidR="001C0DBD" w:rsidRPr="00802BB2">
        <w:rPr>
          <w:rFonts w:eastAsia="Times New Roman" w:cstheme="minorHAnsi"/>
          <w:lang w:val="es-ES_tradnl" w:eastAsia="es-CL"/>
        </w:rPr>
        <w:t xml:space="preserve"> Considerar íntegramente su testimonio.</w:t>
      </w:r>
    </w:p>
    <w:p w14:paraId="27850B7A" w14:textId="77777777" w:rsidR="00DB367C" w:rsidRPr="00802BB2" w:rsidRDefault="00A062B9" w:rsidP="00DB367C">
      <w:pPr>
        <w:pStyle w:val="Prrafodelista"/>
        <w:numPr>
          <w:ilvl w:val="0"/>
          <w:numId w:val="22"/>
        </w:numPr>
        <w:spacing w:before="240"/>
        <w:jc w:val="both"/>
      </w:pPr>
      <w:r w:rsidRPr="00802BB2">
        <w:rPr>
          <w:rFonts w:eastAsia="Times New Roman" w:cstheme="minorHAnsi"/>
          <w:b/>
          <w:lang w:val="es-ES_tradnl" w:eastAsia="es-CL"/>
        </w:rPr>
        <w:t>Persona con discapacidad psicosocial</w:t>
      </w:r>
      <w:r w:rsidR="00E862AE" w:rsidRPr="00802BB2">
        <w:t xml:space="preserve">: </w:t>
      </w:r>
    </w:p>
    <w:p w14:paraId="5A78BCD3" w14:textId="3AAF68C9" w:rsidR="001B449A" w:rsidRPr="00802BB2" w:rsidRDefault="00E862AE" w:rsidP="00B85B2B">
      <w:pPr>
        <w:spacing w:before="240"/>
        <w:ind w:firstLine="709"/>
        <w:jc w:val="both"/>
      </w:pPr>
      <w:r w:rsidRPr="00802BB2">
        <w:t>Es i</w:t>
      </w:r>
      <w:r w:rsidR="00996BC0" w:rsidRPr="00802BB2">
        <w:t>mportante valida</w:t>
      </w:r>
      <w:r w:rsidR="00513C4E" w:rsidRPr="00802BB2">
        <w:t>r el testimonio de la persona</w:t>
      </w:r>
      <w:r w:rsidR="00996BC0" w:rsidRPr="00802BB2">
        <w:t xml:space="preserve">. Estar atentos a </w:t>
      </w:r>
      <w:r w:rsidR="00E417E8" w:rsidRPr="00802BB2">
        <w:t>considerar</w:t>
      </w:r>
      <w:r w:rsidR="00996BC0" w:rsidRPr="00802BB2">
        <w:t xml:space="preserve"> sus relatos y no cuestionar </w:t>
      </w:r>
      <w:r w:rsidRPr="00802BB2">
        <w:t>o minimizar lo que están manifestando.</w:t>
      </w:r>
      <w:r w:rsidR="00996BC0" w:rsidRPr="00802BB2">
        <w:t xml:space="preserve"> </w:t>
      </w:r>
      <w:r w:rsidR="00866035" w:rsidRPr="00802BB2">
        <w:t>No asuma que está frente a una persona peligrosa</w:t>
      </w:r>
      <w:r w:rsidR="00175137" w:rsidRPr="00802BB2">
        <w:t xml:space="preserve"> ya que esto sería un prejuicio</w:t>
      </w:r>
      <w:r w:rsidR="00513C4E" w:rsidRPr="00802BB2">
        <w:t>.</w:t>
      </w:r>
    </w:p>
    <w:p w14:paraId="160789AA" w14:textId="14C4EA08" w:rsidR="00B85B2B" w:rsidRPr="00802BB2" w:rsidRDefault="00B85B2B" w:rsidP="00F43ED6">
      <w:pPr>
        <w:spacing w:before="240"/>
        <w:ind w:firstLine="709"/>
        <w:jc w:val="both"/>
        <w:rPr>
          <w:b/>
          <w:bCs/>
        </w:rPr>
      </w:pPr>
      <w:r w:rsidRPr="00802BB2">
        <w:rPr>
          <w:b/>
          <w:bCs/>
        </w:rPr>
        <w:t>Nota</w:t>
      </w:r>
    </w:p>
    <w:p w14:paraId="04DD6BB1" w14:textId="349011CC" w:rsidR="00F43ED6" w:rsidRPr="00802BB2" w:rsidRDefault="00462C1E" w:rsidP="00F43ED6">
      <w:pPr>
        <w:spacing w:before="240"/>
        <w:ind w:firstLine="709"/>
        <w:jc w:val="both"/>
      </w:pPr>
      <w:r w:rsidRPr="00802BB2">
        <w:t xml:space="preserve">Las recomendaciones mencionadas en el presente documento, busca que </w:t>
      </w:r>
      <w:r w:rsidR="00B35B4A" w:rsidRPr="00802BB2">
        <w:t>juezas</w:t>
      </w:r>
      <w:r w:rsidR="000758EC" w:rsidRPr="00802BB2">
        <w:t xml:space="preserve">, </w:t>
      </w:r>
      <w:r w:rsidR="00B35B4A" w:rsidRPr="00802BB2">
        <w:t xml:space="preserve">jueces </w:t>
      </w:r>
      <w:r w:rsidR="000758EC" w:rsidRPr="00802BB2">
        <w:t>y funcionarios de la administración de</w:t>
      </w:r>
      <w:r w:rsidRPr="00802BB2">
        <w:t xml:space="preserve"> justicia asuman un rol activo en la labor de garantizar el </w:t>
      </w:r>
      <w:r w:rsidR="00D11012" w:rsidRPr="00802BB2">
        <w:t>derecho de acceso a la justicia</w:t>
      </w:r>
      <w:r w:rsidRPr="00802BB2">
        <w:t xml:space="preserve">, </w:t>
      </w:r>
      <w:r w:rsidR="00D11012" w:rsidRPr="00802BB2">
        <w:t>asegurando</w:t>
      </w:r>
      <w:r w:rsidRPr="00802BB2">
        <w:t xml:space="preserve"> </w:t>
      </w:r>
      <w:r w:rsidR="00D11012" w:rsidRPr="00802BB2">
        <w:t>la participación plena y efectiva de las personas con discapacidad como sujetos procesales</w:t>
      </w:r>
      <w:r w:rsidR="00B85B2B" w:rsidRPr="00802BB2">
        <w:t xml:space="preserve">, </w:t>
      </w:r>
      <w:r w:rsidR="00D11012" w:rsidRPr="00802BB2">
        <w:t xml:space="preserve">garantizando todos sus derechos humanos y libertades fundamentales. </w:t>
      </w:r>
    </w:p>
    <w:p w14:paraId="4D0F8DDE" w14:textId="43A5DC1F" w:rsidR="008C1E69" w:rsidRPr="00802BB2" w:rsidRDefault="00D11012" w:rsidP="00DB367C">
      <w:pPr>
        <w:spacing w:before="240"/>
        <w:ind w:firstLine="709"/>
        <w:jc w:val="center"/>
        <w:rPr>
          <w:b/>
        </w:rPr>
      </w:pPr>
      <w:r w:rsidRPr="00802BB2">
        <w:rPr>
          <w:b/>
        </w:rPr>
        <w:t xml:space="preserve">Es de suma importancia que estas recomendaciones prácticas abran paso a una futura normativa o protocolos que sean de carácter obligatorio para </w:t>
      </w:r>
      <w:r w:rsidR="00787435" w:rsidRPr="00802BB2">
        <w:rPr>
          <w:b/>
        </w:rPr>
        <w:t>quienes trabajan en el Poder Judicial.</w:t>
      </w:r>
    </w:p>
    <w:p w14:paraId="5A7E6D80" w14:textId="7EA7E820" w:rsidR="00A025AE" w:rsidRPr="00DB367C" w:rsidRDefault="00A025AE" w:rsidP="004F22BD">
      <w:pPr>
        <w:pStyle w:val="Prrafodelista"/>
        <w:spacing w:before="240"/>
        <w:jc w:val="both"/>
        <w:rPr>
          <w:b/>
        </w:rPr>
      </w:pPr>
      <w:r w:rsidRPr="00DB367C">
        <w:rPr>
          <w:b/>
        </w:rPr>
        <w:t xml:space="preserve"> </w:t>
      </w:r>
    </w:p>
    <w:sectPr w:rsidR="00A025AE" w:rsidRPr="00DB367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67EF1" w14:textId="77777777" w:rsidR="0078189B" w:rsidRDefault="0078189B" w:rsidP="00E6014E">
      <w:pPr>
        <w:spacing w:after="0" w:line="240" w:lineRule="auto"/>
      </w:pPr>
      <w:r>
        <w:separator/>
      </w:r>
    </w:p>
  </w:endnote>
  <w:endnote w:type="continuationSeparator" w:id="0">
    <w:p w14:paraId="5E260D4D" w14:textId="77777777" w:rsidR="0078189B" w:rsidRDefault="0078189B" w:rsidP="00E60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E6837" w14:textId="77777777" w:rsidR="0078189B" w:rsidRDefault="0078189B" w:rsidP="00E6014E">
      <w:pPr>
        <w:spacing w:after="0" w:line="240" w:lineRule="auto"/>
      </w:pPr>
      <w:r>
        <w:separator/>
      </w:r>
    </w:p>
  </w:footnote>
  <w:footnote w:type="continuationSeparator" w:id="0">
    <w:p w14:paraId="78643D53" w14:textId="77777777" w:rsidR="0078189B" w:rsidRDefault="0078189B" w:rsidP="00E6014E">
      <w:pPr>
        <w:spacing w:after="0" w:line="240" w:lineRule="auto"/>
      </w:pPr>
      <w:r>
        <w:continuationSeparator/>
      </w:r>
    </w:p>
  </w:footnote>
  <w:footnote w:id="1">
    <w:p w14:paraId="16B274D5" w14:textId="77777777" w:rsidR="00E6014E" w:rsidRPr="00D11012" w:rsidRDefault="00E6014E" w:rsidP="004F22BD">
      <w:pPr>
        <w:pStyle w:val="Textonotapie"/>
        <w:spacing w:line="276" w:lineRule="auto"/>
        <w:jc w:val="both"/>
        <w:rPr>
          <w:rFonts w:asciiTheme="minorHAnsi" w:hAnsiTheme="minorHAnsi" w:cstheme="minorHAnsi"/>
          <w:sz w:val="18"/>
          <w:szCs w:val="18"/>
        </w:rPr>
      </w:pPr>
      <w:r w:rsidRPr="00D11012">
        <w:rPr>
          <w:rStyle w:val="Refdenotaalpie"/>
          <w:rFonts w:asciiTheme="minorHAnsi" w:hAnsiTheme="minorHAnsi" w:cstheme="minorHAnsi"/>
          <w:sz w:val="18"/>
          <w:szCs w:val="18"/>
        </w:rPr>
        <w:footnoteRef/>
      </w:r>
      <w:r w:rsidRPr="00D11012">
        <w:rPr>
          <w:rFonts w:asciiTheme="minorHAnsi" w:hAnsiTheme="minorHAnsi" w:cstheme="minorHAnsi"/>
          <w:sz w:val="18"/>
          <w:szCs w:val="18"/>
        </w:rPr>
        <w:t xml:space="preserve"> Diccionario Panhispánico del español jurídico:</w:t>
      </w:r>
    </w:p>
    <w:p w14:paraId="5738D882" w14:textId="77777777" w:rsidR="00E6014E" w:rsidRPr="00D11012" w:rsidRDefault="00310A3B" w:rsidP="004F22BD">
      <w:pPr>
        <w:pStyle w:val="Textonotapie"/>
        <w:spacing w:line="276" w:lineRule="auto"/>
        <w:jc w:val="both"/>
        <w:rPr>
          <w:rFonts w:asciiTheme="minorHAnsi" w:hAnsiTheme="minorHAnsi" w:cstheme="minorHAnsi"/>
          <w:sz w:val="18"/>
          <w:szCs w:val="18"/>
        </w:rPr>
      </w:pPr>
      <w:hyperlink r:id="rId1" w:history="1">
        <w:r w:rsidR="00E6014E" w:rsidRPr="00D11012">
          <w:rPr>
            <w:rStyle w:val="Hipervnculo"/>
            <w:rFonts w:asciiTheme="minorHAnsi" w:hAnsiTheme="minorHAnsi" w:cstheme="minorHAnsi"/>
            <w:sz w:val="18"/>
            <w:szCs w:val="18"/>
          </w:rPr>
          <w:t>https://dpej.rae.es/lema/dignidad-de-la-persona</w:t>
        </w:r>
      </w:hyperlink>
    </w:p>
  </w:footnote>
  <w:footnote w:id="2">
    <w:p w14:paraId="4D98F21F" w14:textId="46A3FC23" w:rsidR="00293331" w:rsidRPr="00D11012" w:rsidRDefault="00293331" w:rsidP="004F22BD">
      <w:pPr>
        <w:pStyle w:val="Textonotapie"/>
        <w:spacing w:line="276" w:lineRule="auto"/>
        <w:jc w:val="both"/>
        <w:rPr>
          <w:rFonts w:asciiTheme="minorHAnsi" w:hAnsiTheme="minorHAnsi" w:cstheme="minorHAnsi"/>
          <w:sz w:val="18"/>
          <w:szCs w:val="18"/>
        </w:rPr>
      </w:pPr>
      <w:r w:rsidRPr="00D11012">
        <w:rPr>
          <w:rStyle w:val="Refdenotaalpie"/>
          <w:rFonts w:asciiTheme="minorHAnsi" w:hAnsiTheme="minorHAnsi" w:cstheme="minorHAnsi"/>
          <w:sz w:val="18"/>
          <w:szCs w:val="18"/>
        </w:rPr>
        <w:footnoteRef/>
      </w:r>
      <w:r w:rsidR="005E4DE6" w:rsidRPr="00D11012">
        <w:rPr>
          <w:rFonts w:asciiTheme="minorHAnsi" w:hAnsiTheme="minorHAnsi" w:cstheme="minorHAnsi"/>
          <w:sz w:val="18"/>
          <w:szCs w:val="18"/>
        </w:rPr>
        <w:t xml:space="preserve"> </w:t>
      </w:r>
      <w:r w:rsidRPr="00D11012">
        <w:rPr>
          <w:rFonts w:asciiTheme="minorHAnsi" w:hAnsiTheme="minorHAnsi" w:cstheme="minorHAnsi"/>
          <w:sz w:val="18"/>
          <w:szCs w:val="18"/>
        </w:rPr>
        <w:t xml:space="preserve">Basado en Declaración Universal de Derechos Humanos 1948, </w:t>
      </w:r>
      <w:hyperlink r:id="rId2" w:history="1">
        <w:r w:rsidRPr="00D11012">
          <w:rPr>
            <w:rStyle w:val="Hipervnculo"/>
            <w:rFonts w:asciiTheme="minorHAnsi" w:hAnsiTheme="minorHAnsi" w:cstheme="minorHAnsi"/>
            <w:sz w:val="18"/>
            <w:szCs w:val="18"/>
          </w:rPr>
          <w:t>https://eacnur.org/es/actualidad/noticias/historias-de-vida/derecho-la-igualdad</w:t>
        </w:r>
      </w:hyperlink>
    </w:p>
  </w:footnote>
  <w:footnote w:id="3">
    <w:p w14:paraId="1F153BFA" w14:textId="757F0BF6" w:rsidR="00637C37" w:rsidRPr="00D11012" w:rsidRDefault="00293331" w:rsidP="004F22BD">
      <w:pPr>
        <w:pStyle w:val="Textonotapie"/>
        <w:spacing w:line="276" w:lineRule="auto"/>
        <w:jc w:val="both"/>
        <w:rPr>
          <w:rFonts w:asciiTheme="minorHAnsi" w:hAnsiTheme="minorHAnsi" w:cstheme="minorHAnsi"/>
          <w:sz w:val="18"/>
          <w:szCs w:val="18"/>
        </w:rPr>
      </w:pPr>
      <w:r w:rsidRPr="00D11012">
        <w:rPr>
          <w:rStyle w:val="Refdenotaalpie"/>
          <w:rFonts w:asciiTheme="minorHAnsi" w:hAnsiTheme="minorHAnsi" w:cstheme="minorHAnsi"/>
          <w:sz w:val="18"/>
          <w:szCs w:val="18"/>
        </w:rPr>
        <w:footnoteRef/>
      </w:r>
      <w:r w:rsidRPr="00D11012">
        <w:rPr>
          <w:rFonts w:asciiTheme="minorHAnsi" w:hAnsiTheme="minorHAnsi" w:cstheme="minorHAnsi"/>
          <w:sz w:val="18"/>
          <w:szCs w:val="18"/>
        </w:rPr>
        <w:t xml:space="preserve"> </w:t>
      </w:r>
      <w:hyperlink r:id="rId3" w:history="1">
        <w:r w:rsidR="00637C37" w:rsidRPr="00D11012">
          <w:rPr>
            <w:rStyle w:val="Hipervnculo"/>
            <w:rFonts w:asciiTheme="minorHAnsi" w:hAnsiTheme="minorHAnsi" w:cstheme="minorHAnsi"/>
            <w:sz w:val="18"/>
            <w:szCs w:val="18"/>
          </w:rPr>
          <w:t>https://www.corteidh.or.cr/tablas/32092.pdf</w:t>
        </w:r>
      </w:hyperlink>
      <w:r w:rsidR="00637C37" w:rsidRPr="00D11012">
        <w:rPr>
          <w:rFonts w:asciiTheme="minorHAnsi" w:hAnsiTheme="minorHAnsi" w:cstheme="minorHAnsi"/>
          <w:sz w:val="18"/>
          <w:szCs w:val="18"/>
        </w:rPr>
        <w:t>, página75</w:t>
      </w:r>
      <w:r w:rsidR="005E4DE6" w:rsidRPr="00D11012">
        <w:rPr>
          <w:rFonts w:asciiTheme="minorHAnsi" w:hAnsiTheme="minorHAnsi" w:cstheme="minorHAnsi"/>
          <w:sz w:val="18"/>
          <w:szCs w:val="18"/>
        </w:rPr>
        <w:t>.</w:t>
      </w:r>
    </w:p>
  </w:footnote>
  <w:footnote w:id="4">
    <w:p w14:paraId="3B0FC11C" w14:textId="49834D4C" w:rsidR="00547FE4" w:rsidRPr="00D11012" w:rsidRDefault="00547FE4" w:rsidP="004F22BD">
      <w:pPr>
        <w:pStyle w:val="Textonotapie"/>
        <w:spacing w:line="276" w:lineRule="auto"/>
        <w:jc w:val="both"/>
        <w:rPr>
          <w:sz w:val="18"/>
          <w:szCs w:val="18"/>
          <w:lang w:val="es-ES"/>
        </w:rPr>
      </w:pPr>
      <w:r w:rsidRPr="00D11012">
        <w:rPr>
          <w:rStyle w:val="Refdenotaalpie"/>
          <w:rFonts w:asciiTheme="minorHAnsi" w:hAnsiTheme="minorHAnsi" w:cstheme="minorHAnsi"/>
          <w:sz w:val="18"/>
          <w:szCs w:val="18"/>
        </w:rPr>
        <w:footnoteRef/>
      </w:r>
      <w:r w:rsidRPr="00D11012">
        <w:rPr>
          <w:rFonts w:asciiTheme="minorHAnsi" w:hAnsiTheme="minorHAnsi" w:cstheme="minorHAnsi"/>
          <w:sz w:val="18"/>
          <w:szCs w:val="18"/>
        </w:rPr>
        <w:t xml:space="preserve"> Artículo 2</w:t>
      </w:r>
      <w:r w:rsidR="00777C84" w:rsidRPr="00D11012">
        <w:rPr>
          <w:rFonts w:asciiTheme="minorHAnsi" w:hAnsiTheme="minorHAnsi" w:cstheme="minorHAnsi"/>
          <w:sz w:val="18"/>
          <w:szCs w:val="18"/>
        </w:rPr>
        <w:t xml:space="preserve"> CDPD:</w:t>
      </w:r>
      <w:r w:rsidRPr="00D11012">
        <w:rPr>
          <w:rFonts w:asciiTheme="minorHAnsi" w:hAnsiTheme="minorHAnsi" w:cstheme="minorHAnsi"/>
          <w:sz w:val="18"/>
          <w:szCs w:val="18"/>
        </w:rPr>
        <w:t xml:space="preserve"> Los ajustes razonables son las modificaciones y adaptaciones necesarias y adecuadas que no impongan una carga desproporcionada o indebida, cuando se requieran en un caso particular, para garantizar a las personas con discapacidad el goce o ejercicio, en igualdad de condiciones con las demás, de todos los derechos humanos y libertades fundamentales</w:t>
      </w:r>
      <w:r w:rsidRPr="00D11012">
        <w:rPr>
          <w:sz w:val="18"/>
          <w:szCs w:val="18"/>
        </w:rPr>
        <w:t>.</w:t>
      </w:r>
    </w:p>
  </w:footnote>
  <w:footnote w:id="5">
    <w:p w14:paraId="508B4B50" w14:textId="43B343E0" w:rsidR="004113E6" w:rsidRPr="00D11012" w:rsidRDefault="004113E6" w:rsidP="004F22BD">
      <w:pPr>
        <w:pStyle w:val="Textonotapie"/>
        <w:spacing w:line="276" w:lineRule="auto"/>
        <w:jc w:val="both"/>
        <w:rPr>
          <w:sz w:val="18"/>
          <w:szCs w:val="18"/>
        </w:rPr>
      </w:pPr>
      <w:r w:rsidRPr="00D11012">
        <w:rPr>
          <w:rStyle w:val="Refdenotaalpie"/>
          <w:sz w:val="18"/>
          <w:szCs w:val="18"/>
        </w:rPr>
        <w:footnoteRef/>
      </w:r>
      <w:r w:rsidRPr="00D11012">
        <w:rPr>
          <w:sz w:val="18"/>
          <w:szCs w:val="18"/>
        </w:rPr>
        <w:t xml:space="preserve"> </w:t>
      </w:r>
      <w:r w:rsidR="007F3C2B" w:rsidRPr="00D11012">
        <w:rPr>
          <w:sz w:val="18"/>
          <w:szCs w:val="18"/>
        </w:rPr>
        <w:t xml:space="preserve">Basado en </w:t>
      </w:r>
      <w:r w:rsidR="005E4DE6" w:rsidRPr="00D11012">
        <w:rPr>
          <w:sz w:val="18"/>
          <w:szCs w:val="18"/>
        </w:rPr>
        <w:t>Observación</w:t>
      </w:r>
      <w:r w:rsidRPr="00D11012">
        <w:rPr>
          <w:sz w:val="18"/>
          <w:szCs w:val="18"/>
        </w:rPr>
        <w:t xml:space="preserve"> General N°1 sobre Igual reconocimiento como persona ante la ley, Comité CDPD</w:t>
      </w:r>
      <w:r w:rsidR="005E4DE6" w:rsidRPr="00D11012">
        <w:rPr>
          <w:sz w:val="18"/>
          <w:szCs w:val="18"/>
        </w:rPr>
        <w:t>. CRPD/C/GC/1:</w:t>
      </w:r>
      <w:hyperlink r:id="rId4" w:history="1">
        <w:r w:rsidR="005E4DE6" w:rsidRPr="00D11012">
          <w:rPr>
            <w:rStyle w:val="Hipervnculo"/>
            <w:sz w:val="18"/>
            <w:szCs w:val="18"/>
          </w:rPr>
          <w:t>https://tbinternet.ohchr.org/_layouts/15/treatybodyexternal/Download.aspx?symbolno=CRPD/C/GC/1&amp;Lang=en</w:t>
        </w:r>
      </w:hyperlink>
    </w:p>
  </w:footnote>
  <w:footnote w:id="6">
    <w:p w14:paraId="0449F536" w14:textId="4CD7A7A4" w:rsidR="003C0692" w:rsidRPr="00D11012" w:rsidRDefault="003C0692" w:rsidP="004F22BD">
      <w:pPr>
        <w:pStyle w:val="Textonotapie"/>
        <w:spacing w:line="276" w:lineRule="auto"/>
        <w:jc w:val="both"/>
        <w:rPr>
          <w:sz w:val="18"/>
          <w:szCs w:val="18"/>
        </w:rPr>
      </w:pPr>
      <w:r w:rsidRPr="00D11012">
        <w:rPr>
          <w:rStyle w:val="Refdenotaalpie"/>
          <w:sz w:val="18"/>
          <w:szCs w:val="18"/>
        </w:rPr>
        <w:footnoteRef/>
      </w:r>
      <w:r w:rsidRPr="00D11012">
        <w:rPr>
          <w:sz w:val="18"/>
          <w:szCs w:val="18"/>
        </w:rPr>
        <w:t xml:space="preserve"> </w:t>
      </w:r>
      <w:r w:rsidR="00175137" w:rsidRPr="00D11012">
        <w:rPr>
          <w:sz w:val="18"/>
          <w:szCs w:val="18"/>
        </w:rPr>
        <w:t xml:space="preserve">Observación General N°1 sobre Igual reconocimiento como persona ante la ley, Comité CDPD: </w:t>
      </w:r>
      <w:r w:rsidRPr="00D11012">
        <w:rPr>
          <w:sz w:val="18"/>
          <w:szCs w:val="18"/>
        </w:rPr>
        <w:t xml:space="preserve">"Apoyo" es un término amplio que engloba arreglos oficiales y oficiosos, de distintos tipos e intensidades. </w:t>
      </w:r>
      <w:r w:rsidR="00777C84" w:rsidRPr="00D11012">
        <w:rPr>
          <w:sz w:val="18"/>
          <w:szCs w:val="18"/>
        </w:rPr>
        <w:t>L</w:t>
      </w:r>
      <w:r w:rsidRPr="00D11012">
        <w:rPr>
          <w:sz w:val="18"/>
          <w:szCs w:val="18"/>
        </w:rPr>
        <w:t>as personas con discapac</w:t>
      </w:r>
      <w:r w:rsidR="00777C84" w:rsidRPr="00D11012">
        <w:rPr>
          <w:sz w:val="18"/>
          <w:szCs w:val="18"/>
        </w:rPr>
        <w:t xml:space="preserve">idad pueden escoger a una o más </w:t>
      </w:r>
      <w:r w:rsidRPr="00D11012">
        <w:rPr>
          <w:sz w:val="18"/>
          <w:szCs w:val="18"/>
        </w:rPr>
        <w:t xml:space="preserve">personas de apoyo en las que confíen para que les ayuden </w:t>
      </w:r>
      <w:r w:rsidR="00777C84" w:rsidRPr="00D11012">
        <w:rPr>
          <w:sz w:val="18"/>
          <w:szCs w:val="18"/>
        </w:rPr>
        <w:t xml:space="preserve">a ejercer su capacidad jurídica </w:t>
      </w:r>
      <w:r w:rsidRPr="00D11012">
        <w:rPr>
          <w:sz w:val="18"/>
          <w:szCs w:val="18"/>
        </w:rPr>
        <w:t>respecto de determinados tipos de decisiones, o pueden re</w:t>
      </w:r>
      <w:r w:rsidR="00777C84" w:rsidRPr="00D11012">
        <w:rPr>
          <w:sz w:val="18"/>
          <w:szCs w:val="18"/>
        </w:rPr>
        <w:t xml:space="preserve">currir a otras formas de apoyo, </w:t>
      </w:r>
      <w:r w:rsidRPr="00D11012">
        <w:rPr>
          <w:sz w:val="18"/>
          <w:szCs w:val="18"/>
        </w:rPr>
        <w:t>como el apoyo entre pares, la defensa de sus intereses (inclu</w:t>
      </w:r>
      <w:r w:rsidR="00777C84" w:rsidRPr="00D11012">
        <w:rPr>
          <w:sz w:val="18"/>
          <w:szCs w:val="18"/>
        </w:rPr>
        <w:t xml:space="preserve">ido el apoyo para la defensa de </w:t>
      </w:r>
      <w:r w:rsidRPr="00D11012">
        <w:rPr>
          <w:sz w:val="18"/>
          <w:szCs w:val="18"/>
        </w:rPr>
        <w:t>los intereses propios) o la asistencia para comunicarse</w:t>
      </w:r>
      <w:r w:rsidR="00777C84" w:rsidRPr="00D11012">
        <w:rPr>
          <w:sz w:val="18"/>
          <w:szCs w:val="18"/>
        </w:rPr>
        <w:t>.</w:t>
      </w:r>
    </w:p>
  </w:footnote>
  <w:footnote w:id="7">
    <w:p w14:paraId="7E651A9E" w14:textId="60E7899E" w:rsidR="00777C84" w:rsidRPr="00D11012" w:rsidRDefault="00777C84" w:rsidP="004F22BD">
      <w:pPr>
        <w:pStyle w:val="Textonotapie"/>
        <w:spacing w:line="276" w:lineRule="auto"/>
        <w:jc w:val="both"/>
        <w:rPr>
          <w:sz w:val="18"/>
          <w:szCs w:val="18"/>
          <w:lang w:val="es-ES"/>
        </w:rPr>
      </w:pPr>
      <w:r w:rsidRPr="00D11012">
        <w:rPr>
          <w:rStyle w:val="Refdenotaalpie"/>
          <w:sz w:val="18"/>
          <w:szCs w:val="18"/>
        </w:rPr>
        <w:footnoteRef/>
      </w:r>
      <w:r w:rsidRPr="00D11012">
        <w:rPr>
          <w:sz w:val="18"/>
          <w:szCs w:val="18"/>
        </w:rPr>
        <w:t xml:space="preserve"> Art</w:t>
      </w:r>
      <w:r w:rsidR="005E4DE6" w:rsidRPr="00D11012">
        <w:rPr>
          <w:sz w:val="18"/>
          <w:szCs w:val="18"/>
        </w:rPr>
        <w:t>ículo 12 i</w:t>
      </w:r>
      <w:r w:rsidRPr="00D11012">
        <w:rPr>
          <w:sz w:val="18"/>
          <w:szCs w:val="18"/>
        </w:rPr>
        <w:t>nciso 4</w:t>
      </w:r>
      <w:r w:rsidRPr="00D11012">
        <w:rPr>
          <w:rFonts w:asciiTheme="minorHAnsi" w:eastAsiaTheme="minorHAnsi" w:hAnsiTheme="minorHAnsi" w:cstheme="minorBidi"/>
          <w:sz w:val="18"/>
          <w:szCs w:val="18"/>
        </w:rPr>
        <w:t xml:space="preserve"> CDPD: </w:t>
      </w:r>
      <w:r w:rsidRPr="00D11012">
        <w:rPr>
          <w:sz w:val="18"/>
          <w:szCs w:val="18"/>
        </w:rPr>
        <w:t>Las salvaguardias asegurarán que las medidas relativas al ejercicio de la capacidad jurídica respeten los derechos, la voluntad y las preferencias de la persona, que no haya conflicto de intereses ni influencia indebida, que sean proporcionales y adaptadas a las circunstancias de la persona, que se apliquen en el plazo más corto posible y que estén sujetas a exámenes periódicos por parte de una autoridad o un órgano judicial competente, independiente e imparcial.</w:t>
      </w:r>
    </w:p>
  </w:footnote>
  <w:footnote w:id="8">
    <w:p w14:paraId="1E6527D1" w14:textId="5B182695" w:rsidR="002A6C54" w:rsidRPr="00D11012" w:rsidRDefault="002A6C54" w:rsidP="004F22BD">
      <w:pPr>
        <w:pStyle w:val="Textonotapie"/>
        <w:spacing w:line="276" w:lineRule="auto"/>
        <w:rPr>
          <w:sz w:val="18"/>
          <w:szCs w:val="18"/>
          <w:lang w:val="es-ES"/>
        </w:rPr>
      </w:pPr>
      <w:r w:rsidRPr="00D11012">
        <w:rPr>
          <w:rStyle w:val="Refdenotaalpie"/>
          <w:sz w:val="18"/>
          <w:szCs w:val="18"/>
        </w:rPr>
        <w:footnoteRef/>
      </w:r>
      <w:r w:rsidRPr="00D11012">
        <w:rPr>
          <w:sz w:val="18"/>
          <w:szCs w:val="18"/>
        </w:rPr>
        <w:t xml:space="preserve"> </w:t>
      </w:r>
      <w:r w:rsidR="001F17C7" w:rsidRPr="00D11012">
        <w:rPr>
          <w:sz w:val="18"/>
          <w:szCs w:val="18"/>
        </w:rPr>
        <w:t>Artículo 2 CDPD: Por “diseño universal” se entenderá el diseño de productos, entornos, programas y servicios que puedan utilizar todas las personas, en la mayor medida posible, sin necesidad de adaptación ni diseño especializado.</w:t>
      </w:r>
    </w:p>
  </w:footnote>
  <w:footnote w:id="9">
    <w:p w14:paraId="6E1591AA" w14:textId="7002A352" w:rsidR="00B04516" w:rsidRPr="00D11012" w:rsidRDefault="00B04516" w:rsidP="004F22BD">
      <w:pPr>
        <w:pStyle w:val="Textonotapie"/>
        <w:spacing w:line="276" w:lineRule="auto"/>
        <w:rPr>
          <w:sz w:val="18"/>
          <w:szCs w:val="18"/>
        </w:rPr>
      </w:pPr>
      <w:r w:rsidRPr="00D11012">
        <w:rPr>
          <w:rStyle w:val="Refdenotaalpie"/>
          <w:sz w:val="18"/>
          <w:szCs w:val="18"/>
        </w:rPr>
        <w:footnoteRef/>
      </w:r>
      <w:r w:rsidRPr="00D11012">
        <w:rPr>
          <w:sz w:val="18"/>
          <w:szCs w:val="18"/>
        </w:rPr>
        <w:t xml:space="preserve"> Artículo 1 inc</w:t>
      </w:r>
      <w:r w:rsidR="00175137" w:rsidRPr="00D11012">
        <w:rPr>
          <w:sz w:val="18"/>
          <w:szCs w:val="18"/>
        </w:rPr>
        <w:t>iso</w:t>
      </w:r>
      <w:r w:rsidRPr="00D11012">
        <w:rPr>
          <w:sz w:val="18"/>
          <w:szCs w:val="18"/>
        </w:rPr>
        <w:t xml:space="preserve"> 2 CDPD</w:t>
      </w:r>
      <w:r w:rsidR="00376FE9" w:rsidRPr="00D11012">
        <w:rPr>
          <w:sz w:val="18"/>
          <w:szCs w:val="18"/>
        </w:rPr>
        <w:t>.</w:t>
      </w:r>
    </w:p>
  </w:footnote>
  <w:footnote w:id="10">
    <w:p w14:paraId="66444429" w14:textId="56B448FC" w:rsidR="009F1F2B" w:rsidRPr="00D57F2E" w:rsidRDefault="009F1F2B" w:rsidP="00D57F2E">
      <w:pPr>
        <w:pStyle w:val="pf0"/>
        <w:jc w:val="both"/>
        <w:rPr>
          <w:rFonts w:asciiTheme="majorHAnsi" w:hAnsiTheme="majorHAnsi" w:cstheme="majorHAnsi"/>
          <w:sz w:val="18"/>
          <w:szCs w:val="18"/>
        </w:rPr>
      </w:pPr>
      <w:r w:rsidRPr="00B023B4">
        <w:rPr>
          <w:rStyle w:val="Refdenotaalpie"/>
          <w:rFonts w:asciiTheme="majorHAnsi" w:hAnsiTheme="majorHAnsi" w:cstheme="majorHAnsi"/>
          <w:sz w:val="18"/>
          <w:szCs w:val="18"/>
        </w:rPr>
        <w:footnoteRef/>
      </w:r>
      <w:r w:rsidRPr="00B023B4">
        <w:rPr>
          <w:rFonts w:asciiTheme="majorHAnsi" w:hAnsiTheme="majorHAnsi" w:cstheme="majorHAnsi"/>
          <w:sz w:val="18"/>
          <w:szCs w:val="18"/>
        </w:rPr>
        <w:t xml:space="preserve"> </w:t>
      </w:r>
      <w:r w:rsidR="00FE5622" w:rsidRPr="00B023B4">
        <w:rPr>
          <w:rStyle w:val="cf01"/>
          <w:rFonts w:asciiTheme="majorHAnsi" w:hAnsiTheme="majorHAnsi" w:cstheme="majorHAnsi"/>
        </w:rPr>
        <w:t xml:space="preserve">Comité Español de Representantes de Personas con Discapacidad CERMI (2021). </w:t>
      </w:r>
      <w:r w:rsidR="00FE5622" w:rsidRPr="00B023B4">
        <w:rPr>
          <w:rStyle w:val="cf01"/>
          <w:rFonts w:asciiTheme="majorHAnsi" w:hAnsiTheme="majorHAnsi" w:cstheme="majorHAnsi"/>
          <w:b/>
          <w:bCs/>
        </w:rPr>
        <w:t xml:space="preserve">Accesibilidad cognitiva en el uso público de los edificios. Colección Inclusión y Diversidad Número </w:t>
      </w:r>
      <w:r w:rsidR="00FE5622" w:rsidRPr="00B023B4">
        <w:rPr>
          <w:rStyle w:val="cf01"/>
          <w:rFonts w:asciiTheme="majorHAnsi" w:hAnsiTheme="majorHAnsi" w:cstheme="majorHAnsi"/>
        </w:rPr>
        <w:t>32. España: Grupo Editorial Cinca.</w:t>
      </w:r>
      <w:r w:rsidR="000E53B7" w:rsidRPr="00B023B4">
        <w:rPr>
          <w:rStyle w:val="cf01"/>
          <w:rFonts w:asciiTheme="majorHAnsi" w:hAnsiTheme="majorHAnsi" w:cstheme="majorHAnsi"/>
        </w:rPr>
        <w:t xml:space="preserve"> "</w:t>
      </w:r>
      <w:r w:rsidR="000E53B7" w:rsidRPr="00B023B4">
        <w:rPr>
          <w:rStyle w:val="cf01"/>
          <w:rFonts w:asciiTheme="majorHAnsi" w:hAnsiTheme="majorHAnsi" w:cstheme="majorHAnsi"/>
          <w:i/>
          <w:iCs/>
        </w:rPr>
        <w:t>característica de los entornos, procesos,</w:t>
      </w:r>
      <w:r w:rsidR="000E53B7" w:rsidRPr="00B023B4">
        <w:rPr>
          <w:rFonts w:asciiTheme="majorHAnsi" w:hAnsiTheme="majorHAnsi" w:cstheme="majorHAnsi"/>
          <w:i/>
          <w:iCs/>
          <w:sz w:val="18"/>
          <w:szCs w:val="18"/>
        </w:rPr>
        <w:t xml:space="preserve"> </w:t>
      </w:r>
      <w:r w:rsidR="000E53B7" w:rsidRPr="00B023B4">
        <w:rPr>
          <w:rStyle w:val="cf01"/>
          <w:rFonts w:asciiTheme="majorHAnsi" w:hAnsiTheme="majorHAnsi" w:cstheme="majorHAnsi"/>
          <w:i/>
          <w:iCs/>
        </w:rPr>
        <w:t>actividades, bienes, productos, servicios,</w:t>
      </w:r>
      <w:r w:rsidR="000E53B7" w:rsidRPr="00B023B4">
        <w:rPr>
          <w:rFonts w:asciiTheme="majorHAnsi" w:hAnsiTheme="majorHAnsi" w:cstheme="majorHAnsi"/>
          <w:i/>
          <w:iCs/>
          <w:sz w:val="18"/>
          <w:szCs w:val="18"/>
        </w:rPr>
        <w:t xml:space="preserve"> </w:t>
      </w:r>
      <w:r w:rsidR="000E53B7" w:rsidRPr="00B023B4">
        <w:rPr>
          <w:rStyle w:val="cf01"/>
          <w:rFonts w:asciiTheme="majorHAnsi" w:hAnsiTheme="majorHAnsi" w:cstheme="majorHAnsi"/>
          <w:i/>
          <w:iCs/>
        </w:rPr>
        <w:t>objetos o instrumentos, herramientas y</w:t>
      </w:r>
      <w:r w:rsidR="000E53B7" w:rsidRPr="00B023B4">
        <w:rPr>
          <w:rFonts w:asciiTheme="majorHAnsi" w:hAnsiTheme="majorHAnsi" w:cstheme="majorHAnsi"/>
          <w:i/>
          <w:iCs/>
          <w:sz w:val="18"/>
          <w:szCs w:val="18"/>
        </w:rPr>
        <w:t xml:space="preserve"> </w:t>
      </w:r>
      <w:r w:rsidR="000E53B7" w:rsidRPr="00B023B4">
        <w:rPr>
          <w:rStyle w:val="cf01"/>
          <w:rFonts w:asciiTheme="majorHAnsi" w:hAnsiTheme="majorHAnsi" w:cstheme="majorHAnsi"/>
          <w:i/>
          <w:iCs/>
        </w:rPr>
        <w:t>dispositivos que permiten su fácil</w:t>
      </w:r>
      <w:r w:rsidR="000E53B7" w:rsidRPr="00B023B4">
        <w:rPr>
          <w:rFonts w:asciiTheme="majorHAnsi" w:hAnsiTheme="majorHAnsi" w:cstheme="majorHAnsi"/>
          <w:i/>
          <w:iCs/>
          <w:sz w:val="18"/>
          <w:szCs w:val="18"/>
        </w:rPr>
        <w:t xml:space="preserve"> </w:t>
      </w:r>
      <w:r w:rsidR="000E53B7" w:rsidRPr="00B023B4">
        <w:rPr>
          <w:rStyle w:val="cf01"/>
          <w:rFonts w:asciiTheme="majorHAnsi" w:hAnsiTheme="majorHAnsi" w:cstheme="majorHAnsi"/>
          <w:i/>
          <w:iCs/>
        </w:rPr>
        <w:t>comprensión y la comunicación”</w:t>
      </w:r>
      <w:r w:rsidR="00D57F2E">
        <w:rPr>
          <w:rStyle w:val="cf01"/>
          <w:rFonts w:asciiTheme="majorHAnsi" w:hAnsiTheme="majorHAnsi" w:cstheme="majorHAnsi"/>
        </w:rPr>
        <w:t xml:space="preserve"> p.1</w:t>
      </w:r>
    </w:p>
  </w:footnote>
  <w:footnote w:id="11">
    <w:p w14:paraId="2B6F8B8C" w14:textId="50EF39E2" w:rsidR="00261201" w:rsidRPr="00D11012" w:rsidRDefault="00261201" w:rsidP="004F22BD">
      <w:pPr>
        <w:pStyle w:val="Textonotapie"/>
        <w:spacing w:line="276" w:lineRule="auto"/>
        <w:rPr>
          <w:sz w:val="18"/>
          <w:szCs w:val="18"/>
          <w:lang w:val="es-ES"/>
        </w:rPr>
      </w:pPr>
      <w:r w:rsidRPr="00D11012">
        <w:rPr>
          <w:rStyle w:val="Refdenotaalpie"/>
          <w:sz w:val="18"/>
          <w:szCs w:val="18"/>
        </w:rPr>
        <w:footnoteRef/>
      </w:r>
      <w:r w:rsidRPr="00D11012">
        <w:rPr>
          <w:sz w:val="18"/>
          <w:szCs w:val="18"/>
        </w:rPr>
        <w:t xml:space="preserve"> </w:t>
      </w:r>
      <w:r w:rsidR="005E4DE6" w:rsidRPr="00D11012">
        <w:rPr>
          <w:sz w:val="18"/>
          <w:szCs w:val="18"/>
        </w:rPr>
        <w:t xml:space="preserve">Basado en Observación </w:t>
      </w:r>
      <w:r w:rsidRPr="00D11012">
        <w:rPr>
          <w:sz w:val="18"/>
          <w:szCs w:val="18"/>
        </w:rPr>
        <w:t>General N°1, sobre Igual reconocimiento como persona ante la ley, Comité CDPD</w:t>
      </w:r>
      <w:r w:rsidR="00376FE9" w:rsidRPr="00D11012">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1B0F"/>
    <w:multiLevelType w:val="hybridMultilevel"/>
    <w:tmpl w:val="7542CF8C"/>
    <w:lvl w:ilvl="0" w:tplc="DEE4835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E748F2"/>
    <w:multiLevelType w:val="hybridMultilevel"/>
    <w:tmpl w:val="53C047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5D43E67"/>
    <w:multiLevelType w:val="hybridMultilevel"/>
    <w:tmpl w:val="9154C9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7CA0B5E"/>
    <w:multiLevelType w:val="hybridMultilevel"/>
    <w:tmpl w:val="0686A5F6"/>
    <w:lvl w:ilvl="0" w:tplc="125CAD4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9B52573"/>
    <w:multiLevelType w:val="hybridMultilevel"/>
    <w:tmpl w:val="B38E026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E5216CD"/>
    <w:multiLevelType w:val="hybridMultilevel"/>
    <w:tmpl w:val="D548C59E"/>
    <w:lvl w:ilvl="0" w:tplc="340A000F">
      <w:start w:val="1"/>
      <w:numFmt w:val="decimal"/>
      <w:lvlText w:val="%1."/>
      <w:lvlJc w:val="lef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6" w15:restartNumberingAfterBreak="0">
    <w:nsid w:val="12114A01"/>
    <w:multiLevelType w:val="hybridMultilevel"/>
    <w:tmpl w:val="3390611C"/>
    <w:lvl w:ilvl="0" w:tplc="69DE02D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083D17"/>
    <w:multiLevelType w:val="hybridMultilevel"/>
    <w:tmpl w:val="6FA8DC9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BAC2C06"/>
    <w:multiLevelType w:val="hybridMultilevel"/>
    <w:tmpl w:val="441E81EE"/>
    <w:lvl w:ilvl="0" w:tplc="340A0013">
      <w:start w:val="1"/>
      <w:numFmt w:val="upperRoman"/>
      <w:lvlText w:val="%1."/>
      <w:lvlJc w:val="righ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9" w15:restartNumberingAfterBreak="0">
    <w:nsid w:val="36A4760C"/>
    <w:multiLevelType w:val="hybridMultilevel"/>
    <w:tmpl w:val="D7580A3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AEA63AC"/>
    <w:multiLevelType w:val="hybridMultilevel"/>
    <w:tmpl w:val="25708D6A"/>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4A23D60"/>
    <w:multiLevelType w:val="hybridMultilevel"/>
    <w:tmpl w:val="41C82A9A"/>
    <w:lvl w:ilvl="0" w:tplc="E46A594C">
      <w:start w:val="1"/>
      <w:numFmt w:val="decimal"/>
      <w:lvlText w:val="%1."/>
      <w:lvlJc w:val="left"/>
      <w:pPr>
        <w:ind w:left="720" w:hanging="360"/>
      </w:pPr>
      <w:rPr>
        <w:rFonts w:asciiTheme="minorHAnsi" w:eastAsiaTheme="minorHAnsi" w:hAnsiTheme="minorHAnsi" w:cstheme="minorBid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75951DD"/>
    <w:multiLevelType w:val="hybridMultilevel"/>
    <w:tmpl w:val="C65E959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D003E55"/>
    <w:multiLevelType w:val="hybridMultilevel"/>
    <w:tmpl w:val="4A2CDE44"/>
    <w:lvl w:ilvl="0" w:tplc="79589E4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DCC4F23"/>
    <w:multiLevelType w:val="hybridMultilevel"/>
    <w:tmpl w:val="B656901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8847C59"/>
    <w:multiLevelType w:val="hybridMultilevel"/>
    <w:tmpl w:val="20D852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8AD3871"/>
    <w:multiLevelType w:val="hybridMultilevel"/>
    <w:tmpl w:val="0590CA3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A680087"/>
    <w:multiLevelType w:val="hybridMultilevel"/>
    <w:tmpl w:val="1390D468"/>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8" w15:restartNumberingAfterBreak="0">
    <w:nsid w:val="5ACF7FA8"/>
    <w:multiLevelType w:val="hybridMultilevel"/>
    <w:tmpl w:val="1B8076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5DB23457"/>
    <w:multiLevelType w:val="hybridMultilevel"/>
    <w:tmpl w:val="3C865EC6"/>
    <w:lvl w:ilvl="0" w:tplc="340A0017">
      <w:start w:val="1"/>
      <w:numFmt w:val="lowerLetter"/>
      <w:lvlText w:val="%1)"/>
      <w:lvlJc w:val="lef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20" w15:restartNumberingAfterBreak="0">
    <w:nsid w:val="5F87191A"/>
    <w:multiLevelType w:val="hybridMultilevel"/>
    <w:tmpl w:val="621A0914"/>
    <w:lvl w:ilvl="0" w:tplc="340A0001">
      <w:start w:val="1"/>
      <w:numFmt w:val="bullet"/>
      <w:lvlText w:val=""/>
      <w:lvlJc w:val="left"/>
      <w:pPr>
        <w:ind w:left="785" w:hanging="360"/>
      </w:pPr>
      <w:rPr>
        <w:rFonts w:ascii="Symbol" w:hAnsi="Symbol" w:hint="default"/>
      </w:rPr>
    </w:lvl>
    <w:lvl w:ilvl="1" w:tplc="340A0003" w:tentative="1">
      <w:start w:val="1"/>
      <w:numFmt w:val="bullet"/>
      <w:lvlText w:val="o"/>
      <w:lvlJc w:val="left"/>
      <w:pPr>
        <w:ind w:left="1505" w:hanging="360"/>
      </w:pPr>
      <w:rPr>
        <w:rFonts w:ascii="Courier New" w:hAnsi="Courier New" w:cs="Courier New" w:hint="default"/>
      </w:rPr>
    </w:lvl>
    <w:lvl w:ilvl="2" w:tplc="340A0005" w:tentative="1">
      <w:start w:val="1"/>
      <w:numFmt w:val="bullet"/>
      <w:lvlText w:val=""/>
      <w:lvlJc w:val="left"/>
      <w:pPr>
        <w:ind w:left="2225" w:hanging="360"/>
      </w:pPr>
      <w:rPr>
        <w:rFonts w:ascii="Wingdings" w:hAnsi="Wingdings" w:hint="default"/>
      </w:rPr>
    </w:lvl>
    <w:lvl w:ilvl="3" w:tplc="340A0001" w:tentative="1">
      <w:start w:val="1"/>
      <w:numFmt w:val="bullet"/>
      <w:lvlText w:val=""/>
      <w:lvlJc w:val="left"/>
      <w:pPr>
        <w:ind w:left="2945" w:hanging="360"/>
      </w:pPr>
      <w:rPr>
        <w:rFonts w:ascii="Symbol" w:hAnsi="Symbol" w:hint="default"/>
      </w:rPr>
    </w:lvl>
    <w:lvl w:ilvl="4" w:tplc="340A0003" w:tentative="1">
      <w:start w:val="1"/>
      <w:numFmt w:val="bullet"/>
      <w:lvlText w:val="o"/>
      <w:lvlJc w:val="left"/>
      <w:pPr>
        <w:ind w:left="3665" w:hanging="360"/>
      </w:pPr>
      <w:rPr>
        <w:rFonts w:ascii="Courier New" w:hAnsi="Courier New" w:cs="Courier New" w:hint="default"/>
      </w:rPr>
    </w:lvl>
    <w:lvl w:ilvl="5" w:tplc="340A0005" w:tentative="1">
      <w:start w:val="1"/>
      <w:numFmt w:val="bullet"/>
      <w:lvlText w:val=""/>
      <w:lvlJc w:val="left"/>
      <w:pPr>
        <w:ind w:left="4385" w:hanging="360"/>
      </w:pPr>
      <w:rPr>
        <w:rFonts w:ascii="Wingdings" w:hAnsi="Wingdings" w:hint="default"/>
      </w:rPr>
    </w:lvl>
    <w:lvl w:ilvl="6" w:tplc="340A0001" w:tentative="1">
      <w:start w:val="1"/>
      <w:numFmt w:val="bullet"/>
      <w:lvlText w:val=""/>
      <w:lvlJc w:val="left"/>
      <w:pPr>
        <w:ind w:left="5105" w:hanging="360"/>
      </w:pPr>
      <w:rPr>
        <w:rFonts w:ascii="Symbol" w:hAnsi="Symbol" w:hint="default"/>
      </w:rPr>
    </w:lvl>
    <w:lvl w:ilvl="7" w:tplc="340A0003" w:tentative="1">
      <w:start w:val="1"/>
      <w:numFmt w:val="bullet"/>
      <w:lvlText w:val="o"/>
      <w:lvlJc w:val="left"/>
      <w:pPr>
        <w:ind w:left="5825" w:hanging="360"/>
      </w:pPr>
      <w:rPr>
        <w:rFonts w:ascii="Courier New" w:hAnsi="Courier New" w:cs="Courier New" w:hint="default"/>
      </w:rPr>
    </w:lvl>
    <w:lvl w:ilvl="8" w:tplc="340A0005" w:tentative="1">
      <w:start w:val="1"/>
      <w:numFmt w:val="bullet"/>
      <w:lvlText w:val=""/>
      <w:lvlJc w:val="left"/>
      <w:pPr>
        <w:ind w:left="6545" w:hanging="360"/>
      </w:pPr>
      <w:rPr>
        <w:rFonts w:ascii="Wingdings" w:hAnsi="Wingdings" w:hint="default"/>
      </w:rPr>
    </w:lvl>
  </w:abstractNum>
  <w:abstractNum w:abstractNumId="21" w15:restartNumberingAfterBreak="0">
    <w:nsid w:val="613F7E80"/>
    <w:multiLevelType w:val="hybridMultilevel"/>
    <w:tmpl w:val="8AE26D16"/>
    <w:lvl w:ilvl="0" w:tplc="34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C2E46A9"/>
    <w:multiLevelType w:val="hybridMultilevel"/>
    <w:tmpl w:val="0D70EF5C"/>
    <w:lvl w:ilvl="0" w:tplc="340A0017">
      <w:start w:val="1"/>
      <w:numFmt w:val="lowerLetter"/>
      <w:lvlText w:val="%1)"/>
      <w:lvlJc w:val="lef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num w:numId="1" w16cid:durableId="866138413">
    <w:abstractNumId w:val="13"/>
  </w:num>
  <w:num w:numId="2" w16cid:durableId="1526291298">
    <w:abstractNumId w:val="11"/>
  </w:num>
  <w:num w:numId="3" w16cid:durableId="999238631">
    <w:abstractNumId w:val="3"/>
  </w:num>
  <w:num w:numId="4" w16cid:durableId="308176215">
    <w:abstractNumId w:val="14"/>
  </w:num>
  <w:num w:numId="5" w16cid:durableId="1200164305">
    <w:abstractNumId w:val="21"/>
  </w:num>
  <w:num w:numId="6" w16cid:durableId="94642185">
    <w:abstractNumId w:val="1"/>
  </w:num>
  <w:num w:numId="7" w16cid:durableId="1033463045">
    <w:abstractNumId w:val="2"/>
  </w:num>
  <w:num w:numId="8" w16cid:durableId="609164653">
    <w:abstractNumId w:val="10"/>
  </w:num>
  <w:num w:numId="9" w16cid:durableId="569969957">
    <w:abstractNumId w:val="17"/>
  </w:num>
  <w:num w:numId="10" w16cid:durableId="1424961009">
    <w:abstractNumId w:val="18"/>
  </w:num>
  <w:num w:numId="11" w16cid:durableId="613362092">
    <w:abstractNumId w:val="16"/>
  </w:num>
  <w:num w:numId="12" w16cid:durableId="1647393792">
    <w:abstractNumId w:val="7"/>
  </w:num>
  <w:num w:numId="13" w16cid:durableId="653610465">
    <w:abstractNumId w:val="12"/>
  </w:num>
  <w:num w:numId="14" w16cid:durableId="2047095386">
    <w:abstractNumId w:val="15"/>
  </w:num>
  <w:num w:numId="15" w16cid:durableId="1154906558">
    <w:abstractNumId w:val="0"/>
  </w:num>
  <w:num w:numId="16" w16cid:durableId="1082799603">
    <w:abstractNumId w:val="6"/>
  </w:num>
  <w:num w:numId="17" w16cid:durableId="2049378550">
    <w:abstractNumId w:val="9"/>
  </w:num>
  <w:num w:numId="18" w16cid:durableId="1122458571">
    <w:abstractNumId w:val="20"/>
  </w:num>
  <w:num w:numId="19" w16cid:durableId="1674255402">
    <w:abstractNumId w:val="8"/>
  </w:num>
  <w:num w:numId="20" w16cid:durableId="708648626">
    <w:abstractNumId w:val="5"/>
  </w:num>
  <w:num w:numId="21" w16cid:durableId="1916477038">
    <w:abstractNumId w:val="4"/>
  </w:num>
  <w:num w:numId="22" w16cid:durableId="1846941479">
    <w:abstractNumId w:val="22"/>
  </w:num>
  <w:num w:numId="23" w16cid:durableId="6471752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1D"/>
    <w:rsid w:val="000009AB"/>
    <w:rsid w:val="00000FE1"/>
    <w:rsid w:val="00006F24"/>
    <w:rsid w:val="000129B4"/>
    <w:rsid w:val="00020D7F"/>
    <w:rsid w:val="00032C07"/>
    <w:rsid w:val="00037DD0"/>
    <w:rsid w:val="00045635"/>
    <w:rsid w:val="00061427"/>
    <w:rsid w:val="00063FC5"/>
    <w:rsid w:val="0006538F"/>
    <w:rsid w:val="0006792E"/>
    <w:rsid w:val="00073584"/>
    <w:rsid w:val="000758EC"/>
    <w:rsid w:val="00090B1B"/>
    <w:rsid w:val="000929D0"/>
    <w:rsid w:val="000A5879"/>
    <w:rsid w:val="000B0CD6"/>
    <w:rsid w:val="000B3CFF"/>
    <w:rsid w:val="000D0967"/>
    <w:rsid w:val="000D185B"/>
    <w:rsid w:val="000E1315"/>
    <w:rsid w:val="000E53B7"/>
    <w:rsid w:val="000F3AFB"/>
    <w:rsid w:val="001063C6"/>
    <w:rsid w:val="00106E58"/>
    <w:rsid w:val="00106F8E"/>
    <w:rsid w:val="001202C9"/>
    <w:rsid w:val="001365C3"/>
    <w:rsid w:val="00145323"/>
    <w:rsid w:val="00147389"/>
    <w:rsid w:val="001658BD"/>
    <w:rsid w:val="00175137"/>
    <w:rsid w:val="0018680F"/>
    <w:rsid w:val="001963D9"/>
    <w:rsid w:val="001A0B8D"/>
    <w:rsid w:val="001B449A"/>
    <w:rsid w:val="001B7D41"/>
    <w:rsid w:val="001C0DBD"/>
    <w:rsid w:val="001F17C7"/>
    <w:rsid w:val="0020130E"/>
    <w:rsid w:val="002015E9"/>
    <w:rsid w:val="00202852"/>
    <w:rsid w:val="00206582"/>
    <w:rsid w:val="00213B6D"/>
    <w:rsid w:val="00217163"/>
    <w:rsid w:val="0023655B"/>
    <w:rsid w:val="0024049F"/>
    <w:rsid w:val="00241DC8"/>
    <w:rsid w:val="002476A4"/>
    <w:rsid w:val="00254274"/>
    <w:rsid w:val="00261201"/>
    <w:rsid w:val="00270CD8"/>
    <w:rsid w:val="002744A2"/>
    <w:rsid w:val="00280C09"/>
    <w:rsid w:val="00280FDF"/>
    <w:rsid w:val="00283BF8"/>
    <w:rsid w:val="002852AE"/>
    <w:rsid w:val="00285676"/>
    <w:rsid w:val="00286F13"/>
    <w:rsid w:val="00293331"/>
    <w:rsid w:val="002A19B8"/>
    <w:rsid w:val="002A1E74"/>
    <w:rsid w:val="002A295A"/>
    <w:rsid w:val="002A370E"/>
    <w:rsid w:val="002A6C54"/>
    <w:rsid w:val="002B7160"/>
    <w:rsid w:val="002D44E2"/>
    <w:rsid w:val="002E4321"/>
    <w:rsid w:val="002E7E05"/>
    <w:rsid w:val="002F3AFC"/>
    <w:rsid w:val="00310A3B"/>
    <w:rsid w:val="0031342E"/>
    <w:rsid w:val="003223A7"/>
    <w:rsid w:val="003249AF"/>
    <w:rsid w:val="00331D45"/>
    <w:rsid w:val="00342FE3"/>
    <w:rsid w:val="003511D6"/>
    <w:rsid w:val="0035150A"/>
    <w:rsid w:val="00355539"/>
    <w:rsid w:val="0036172B"/>
    <w:rsid w:val="00364256"/>
    <w:rsid w:val="00364AC4"/>
    <w:rsid w:val="00365163"/>
    <w:rsid w:val="00376FE9"/>
    <w:rsid w:val="00391548"/>
    <w:rsid w:val="003A41E6"/>
    <w:rsid w:val="003A5522"/>
    <w:rsid w:val="003B4CDB"/>
    <w:rsid w:val="003B5A05"/>
    <w:rsid w:val="003C0692"/>
    <w:rsid w:val="003C25A0"/>
    <w:rsid w:val="003D0083"/>
    <w:rsid w:val="003D1D7B"/>
    <w:rsid w:val="003D6C9C"/>
    <w:rsid w:val="003E677D"/>
    <w:rsid w:val="003F0833"/>
    <w:rsid w:val="003F576E"/>
    <w:rsid w:val="003F5C49"/>
    <w:rsid w:val="004021A7"/>
    <w:rsid w:val="004113E6"/>
    <w:rsid w:val="00413E0F"/>
    <w:rsid w:val="00414EF6"/>
    <w:rsid w:val="0042131F"/>
    <w:rsid w:val="00426A6E"/>
    <w:rsid w:val="00431411"/>
    <w:rsid w:val="00432ABE"/>
    <w:rsid w:val="004408FD"/>
    <w:rsid w:val="00453680"/>
    <w:rsid w:val="00462C1E"/>
    <w:rsid w:val="00466C2C"/>
    <w:rsid w:val="0049532F"/>
    <w:rsid w:val="00497A9B"/>
    <w:rsid w:val="004D4FAF"/>
    <w:rsid w:val="004D6A14"/>
    <w:rsid w:val="004E12A9"/>
    <w:rsid w:val="004E67C9"/>
    <w:rsid w:val="004E7BBC"/>
    <w:rsid w:val="004F22BD"/>
    <w:rsid w:val="004F35D6"/>
    <w:rsid w:val="00501D3C"/>
    <w:rsid w:val="0051015F"/>
    <w:rsid w:val="00510967"/>
    <w:rsid w:val="00512F94"/>
    <w:rsid w:val="00513C4E"/>
    <w:rsid w:val="00517843"/>
    <w:rsid w:val="00522B8A"/>
    <w:rsid w:val="00533E84"/>
    <w:rsid w:val="00547FE4"/>
    <w:rsid w:val="00560E42"/>
    <w:rsid w:val="005639D1"/>
    <w:rsid w:val="00564A86"/>
    <w:rsid w:val="00570252"/>
    <w:rsid w:val="00595192"/>
    <w:rsid w:val="005B7960"/>
    <w:rsid w:val="005D062F"/>
    <w:rsid w:val="005D48B9"/>
    <w:rsid w:val="005D5EC1"/>
    <w:rsid w:val="005D5F04"/>
    <w:rsid w:val="005E4DE6"/>
    <w:rsid w:val="005F0DC0"/>
    <w:rsid w:val="005F0E9A"/>
    <w:rsid w:val="006203BD"/>
    <w:rsid w:val="00634A8A"/>
    <w:rsid w:val="00637C37"/>
    <w:rsid w:val="00642F9F"/>
    <w:rsid w:val="006475A7"/>
    <w:rsid w:val="006539A1"/>
    <w:rsid w:val="00661651"/>
    <w:rsid w:val="0066385D"/>
    <w:rsid w:val="00691E1E"/>
    <w:rsid w:val="006A1821"/>
    <w:rsid w:val="006A569A"/>
    <w:rsid w:val="006C51FF"/>
    <w:rsid w:val="006D6726"/>
    <w:rsid w:val="006E452E"/>
    <w:rsid w:val="006E5C2A"/>
    <w:rsid w:val="00707415"/>
    <w:rsid w:val="007218C0"/>
    <w:rsid w:val="007261A6"/>
    <w:rsid w:val="007642CC"/>
    <w:rsid w:val="00774962"/>
    <w:rsid w:val="00774C0D"/>
    <w:rsid w:val="00777C84"/>
    <w:rsid w:val="0078189B"/>
    <w:rsid w:val="00783915"/>
    <w:rsid w:val="00787435"/>
    <w:rsid w:val="007963A2"/>
    <w:rsid w:val="007A73A1"/>
    <w:rsid w:val="007D0778"/>
    <w:rsid w:val="007E2C86"/>
    <w:rsid w:val="007E3A8D"/>
    <w:rsid w:val="007E585A"/>
    <w:rsid w:val="007F0E50"/>
    <w:rsid w:val="007F1FF7"/>
    <w:rsid w:val="007F3C2B"/>
    <w:rsid w:val="00802BB2"/>
    <w:rsid w:val="00807B5F"/>
    <w:rsid w:val="00810FFB"/>
    <w:rsid w:val="00820D68"/>
    <w:rsid w:val="00830220"/>
    <w:rsid w:val="0083168D"/>
    <w:rsid w:val="0083218E"/>
    <w:rsid w:val="00840E67"/>
    <w:rsid w:val="00845841"/>
    <w:rsid w:val="008615A7"/>
    <w:rsid w:val="008652F4"/>
    <w:rsid w:val="00866035"/>
    <w:rsid w:val="00870DB2"/>
    <w:rsid w:val="00870DDD"/>
    <w:rsid w:val="0087376C"/>
    <w:rsid w:val="00875D5B"/>
    <w:rsid w:val="00881671"/>
    <w:rsid w:val="00882BBD"/>
    <w:rsid w:val="00885942"/>
    <w:rsid w:val="008925E0"/>
    <w:rsid w:val="00892E43"/>
    <w:rsid w:val="0089732E"/>
    <w:rsid w:val="008A1CD5"/>
    <w:rsid w:val="008B1D7D"/>
    <w:rsid w:val="008C1E69"/>
    <w:rsid w:val="008C5726"/>
    <w:rsid w:val="008D4E7C"/>
    <w:rsid w:val="008D560A"/>
    <w:rsid w:val="008E2252"/>
    <w:rsid w:val="008E229D"/>
    <w:rsid w:val="008E73C0"/>
    <w:rsid w:val="008F3D28"/>
    <w:rsid w:val="00900C35"/>
    <w:rsid w:val="00911543"/>
    <w:rsid w:val="00914C03"/>
    <w:rsid w:val="00923E2E"/>
    <w:rsid w:val="00936249"/>
    <w:rsid w:val="00937873"/>
    <w:rsid w:val="0094426C"/>
    <w:rsid w:val="00944574"/>
    <w:rsid w:val="009472AB"/>
    <w:rsid w:val="00953BDD"/>
    <w:rsid w:val="00957CC1"/>
    <w:rsid w:val="00960352"/>
    <w:rsid w:val="009638A1"/>
    <w:rsid w:val="009677E4"/>
    <w:rsid w:val="009710C9"/>
    <w:rsid w:val="009902A5"/>
    <w:rsid w:val="009918DA"/>
    <w:rsid w:val="0099598E"/>
    <w:rsid w:val="00996BC0"/>
    <w:rsid w:val="009A4966"/>
    <w:rsid w:val="009A5B98"/>
    <w:rsid w:val="009B224A"/>
    <w:rsid w:val="009C1704"/>
    <w:rsid w:val="009E10EE"/>
    <w:rsid w:val="009E34FC"/>
    <w:rsid w:val="009E703B"/>
    <w:rsid w:val="009F0DC3"/>
    <w:rsid w:val="009F1F2B"/>
    <w:rsid w:val="00A025AE"/>
    <w:rsid w:val="00A062B9"/>
    <w:rsid w:val="00A07AED"/>
    <w:rsid w:val="00A13CC6"/>
    <w:rsid w:val="00A23418"/>
    <w:rsid w:val="00A34420"/>
    <w:rsid w:val="00A471E6"/>
    <w:rsid w:val="00A519A6"/>
    <w:rsid w:val="00A52D91"/>
    <w:rsid w:val="00A557B7"/>
    <w:rsid w:val="00A75A04"/>
    <w:rsid w:val="00A85732"/>
    <w:rsid w:val="00A90A70"/>
    <w:rsid w:val="00AC6C39"/>
    <w:rsid w:val="00AC7AB1"/>
    <w:rsid w:val="00B023B4"/>
    <w:rsid w:val="00B04516"/>
    <w:rsid w:val="00B06670"/>
    <w:rsid w:val="00B1278D"/>
    <w:rsid w:val="00B1488C"/>
    <w:rsid w:val="00B22B1C"/>
    <w:rsid w:val="00B23874"/>
    <w:rsid w:val="00B2672F"/>
    <w:rsid w:val="00B35B4A"/>
    <w:rsid w:val="00B36E93"/>
    <w:rsid w:val="00B426A0"/>
    <w:rsid w:val="00B52AEE"/>
    <w:rsid w:val="00B62443"/>
    <w:rsid w:val="00B73F2C"/>
    <w:rsid w:val="00B85B2B"/>
    <w:rsid w:val="00BA7195"/>
    <w:rsid w:val="00BB46F6"/>
    <w:rsid w:val="00BB6D0A"/>
    <w:rsid w:val="00BD5D81"/>
    <w:rsid w:val="00BD7C0F"/>
    <w:rsid w:val="00C00B82"/>
    <w:rsid w:val="00C00E21"/>
    <w:rsid w:val="00C17D60"/>
    <w:rsid w:val="00C25004"/>
    <w:rsid w:val="00C37D7E"/>
    <w:rsid w:val="00C40D31"/>
    <w:rsid w:val="00C42106"/>
    <w:rsid w:val="00C4353F"/>
    <w:rsid w:val="00C54A3E"/>
    <w:rsid w:val="00C61FDB"/>
    <w:rsid w:val="00C77D0F"/>
    <w:rsid w:val="00C92EA4"/>
    <w:rsid w:val="00C9360F"/>
    <w:rsid w:val="00CA0CB1"/>
    <w:rsid w:val="00CB371A"/>
    <w:rsid w:val="00CC432A"/>
    <w:rsid w:val="00CD4DB7"/>
    <w:rsid w:val="00CE0F8E"/>
    <w:rsid w:val="00CE7C93"/>
    <w:rsid w:val="00CF63B9"/>
    <w:rsid w:val="00D028D8"/>
    <w:rsid w:val="00D04BF5"/>
    <w:rsid w:val="00D06D7E"/>
    <w:rsid w:val="00D11012"/>
    <w:rsid w:val="00D23884"/>
    <w:rsid w:val="00D34D74"/>
    <w:rsid w:val="00D350F8"/>
    <w:rsid w:val="00D37D31"/>
    <w:rsid w:val="00D4158A"/>
    <w:rsid w:val="00D41AE7"/>
    <w:rsid w:val="00D50249"/>
    <w:rsid w:val="00D50A3A"/>
    <w:rsid w:val="00D53559"/>
    <w:rsid w:val="00D57F2E"/>
    <w:rsid w:val="00D6029B"/>
    <w:rsid w:val="00D64926"/>
    <w:rsid w:val="00D72C1B"/>
    <w:rsid w:val="00D870E1"/>
    <w:rsid w:val="00DA3F54"/>
    <w:rsid w:val="00DA5E68"/>
    <w:rsid w:val="00DB367C"/>
    <w:rsid w:val="00DB3AB1"/>
    <w:rsid w:val="00DC3351"/>
    <w:rsid w:val="00DD6BEE"/>
    <w:rsid w:val="00DF671D"/>
    <w:rsid w:val="00E042DF"/>
    <w:rsid w:val="00E06DF5"/>
    <w:rsid w:val="00E20A30"/>
    <w:rsid w:val="00E219C3"/>
    <w:rsid w:val="00E25396"/>
    <w:rsid w:val="00E3078A"/>
    <w:rsid w:val="00E417E8"/>
    <w:rsid w:val="00E44B5C"/>
    <w:rsid w:val="00E456A1"/>
    <w:rsid w:val="00E6014E"/>
    <w:rsid w:val="00E64B92"/>
    <w:rsid w:val="00E64C5A"/>
    <w:rsid w:val="00E70D92"/>
    <w:rsid w:val="00E762CC"/>
    <w:rsid w:val="00E82495"/>
    <w:rsid w:val="00E831EF"/>
    <w:rsid w:val="00E862AE"/>
    <w:rsid w:val="00E86A63"/>
    <w:rsid w:val="00E90A3A"/>
    <w:rsid w:val="00E92F9E"/>
    <w:rsid w:val="00EA052A"/>
    <w:rsid w:val="00EA3745"/>
    <w:rsid w:val="00EB1226"/>
    <w:rsid w:val="00EB410E"/>
    <w:rsid w:val="00EE78EF"/>
    <w:rsid w:val="00F0102E"/>
    <w:rsid w:val="00F126C9"/>
    <w:rsid w:val="00F1342A"/>
    <w:rsid w:val="00F16045"/>
    <w:rsid w:val="00F206AF"/>
    <w:rsid w:val="00F24650"/>
    <w:rsid w:val="00F30FB4"/>
    <w:rsid w:val="00F37052"/>
    <w:rsid w:val="00F43ED6"/>
    <w:rsid w:val="00F4772C"/>
    <w:rsid w:val="00F54338"/>
    <w:rsid w:val="00F565DF"/>
    <w:rsid w:val="00F92AF1"/>
    <w:rsid w:val="00FB6121"/>
    <w:rsid w:val="00FC0852"/>
    <w:rsid w:val="00FC23AD"/>
    <w:rsid w:val="00FC34A7"/>
    <w:rsid w:val="00FC4C14"/>
    <w:rsid w:val="00FD4279"/>
    <w:rsid w:val="00FE00F7"/>
    <w:rsid w:val="00FE5622"/>
    <w:rsid w:val="00FF1194"/>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176D0"/>
  <w15:chartTrackingRefBased/>
  <w15:docId w15:val="{57B0F2D2-B304-4328-B026-CFBAA1C20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F671D"/>
    <w:pPr>
      <w:ind w:left="720"/>
      <w:contextualSpacing/>
    </w:pPr>
  </w:style>
  <w:style w:type="paragraph" w:styleId="Textonotapie">
    <w:name w:val="footnote text"/>
    <w:basedOn w:val="Normal"/>
    <w:link w:val="TextonotapieCar"/>
    <w:uiPriority w:val="99"/>
    <w:unhideWhenUsed/>
    <w:rsid w:val="00E6014E"/>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rsid w:val="00E6014E"/>
    <w:rPr>
      <w:rFonts w:ascii="Calibri" w:eastAsia="Calibri" w:hAnsi="Calibri" w:cs="Times New Roman"/>
      <w:sz w:val="20"/>
      <w:szCs w:val="20"/>
    </w:rPr>
  </w:style>
  <w:style w:type="character" w:styleId="Refdenotaalpie">
    <w:name w:val="footnote reference"/>
    <w:aliases w:val="4_G,Footnote number"/>
    <w:uiPriority w:val="99"/>
    <w:unhideWhenUsed/>
    <w:rsid w:val="00E6014E"/>
    <w:rPr>
      <w:vertAlign w:val="superscript"/>
    </w:rPr>
  </w:style>
  <w:style w:type="character" w:styleId="Hipervnculo">
    <w:name w:val="Hyperlink"/>
    <w:uiPriority w:val="99"/>
    <w:unhideWhenUsed/>
    <w:rsid w:val="00E6014E"/>
    <w:rPr>
      <w:color w:val="0563C1"/>
      <w:u w:val="single"/>
    </w:rPr>
  </w:style>
  <w:style w:type="paragraph" w:styleId="Textodeglobo">
    <w:name w:val="Balloon Text"/>
    <w:basedOn w:val="Normal"/>
    <w:link w:val="TextodegloboCar"/>
    <w:uiPriority w:val="99"/>
    <w:semiHidden/>
    <w:unhideWhenUsed/>
    <w:rsid w:val="00E64B9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4B92"/>
    <w:rPr>
      <w:rFonts w:ascii="Segoe UI" w:hAnsi="Segoe UI" w:cs="Segoe UI"/>
      <w:sz w:val="18"/>
      <w:szCs w:val="18"/>
    </w:rPr>
  </w:style>
  <w:style w:type="paragraph" w:styleId="Ttulo">
    <w:name w:val="Title"/>
    <w:basedOn w:val="Normal"/>
    <w:next w:val="Normal"/>
    <w:link w:val="TtuloCar"/>
    <w:uiPriority w:val="10"/>
    <w:qFormat/>
    <w:rsid w:val="002B71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B7160"/>
    <w:rPr>
      <w:rFonts w:asciiTheme="majorHAnsi" w:eastAsiaTheme="majorEastAsia" w:hAnsiTheme="majorHAnsi" w:cstheme="majorBidi"/>
      <w:spacing w:val="-10"/>
      <w:kern w:val="28"/>
      <w:sz w:val="56"/>
      <w:szCs w:val="56"/>
    </w:rPr>
  </w:style>
  <w:style w:type="character" w:customStyle="1" w:styleId="Mencinsinresolver1">
    <w:name w:val="Mención sin resolver1"/>
    <w:basedOn w:val="Fuentedeprrafopredeter"/>
    <w:uiPriority w:val="99"/>
    <w:semiHidden/>
    <w:unhideWhenUsed/>
    <w:rsid w:val="00CE0F8E"/>
    <w:rPr>
      <w:color w:val="605E5C"/>
      <w:shd w:val="clear" w:color="auto" w:fill="E1DFDD"/>
    </w:rPr>
  </w:style>
  <w:style w:type="character" w:styleId="Hipervnculovisitado">
    <w:name w:val="FollowedHyperlink"/>
    <w:basedOn w:val="Fuentedeprrafopredeter"/>
    <w:uiPriority w:val="99"/>
    <w:semiHidden/>
    <w:unhideWhenUsed/>
    <w:rsid w:val="00B62443"/>
    <w:rPr>
      <w:color w:val="954F72" w:themeColor="followedHyperlink"/>
      <w:u w:val="single"/>
    </w:rPr>
  </w:style>
  <w:style w:type="paragraph" w:styleId="Revisin">
    <w:name w:val="Revision"/>
    <w:hidden/>
    <w:uiPriority w:val="99"/>
    <w:semiHidden/>
    <w:rsid w:val="00707415"/>
    <w:pPr>
      <w:spacing w:after="0" w:line="240" w:lineRule="auto"/>
    </w:pPr>
  </w:style>
  <w:style w:type="character" w:styleId="Refdecomentario">
    <w:name w:val="annotation reference"/>
    <w:basedOn w:val="Fuentedeprrafopredeter"/>
    <w:uiPriority w:val="99"/>
    <w:semiHidden/>
    <w:unhideWhenUsed/>
    <w:rsid w:val="00BB6D0A"/>
    <w:rPr>
      <w:sz w:val="16"/>
      <w:szCs w:val="16"/>
    </w:rPr>
  </w:style>
  <w:style w:type="paragraph" w:styleId="Textocomentario">
    <w:name w:val="annotation text"/>
    <w:basedOn w:val="Normal"/>
    <w:link w:val="TextocomentarioCar"/>
    <w:uiPriority w:val="99"/>
    <w:unhideWhenUsed/>
    <w:rsid w:val="00BB6D0A"/>
    <w:pPr>
      <w:spacing w:line="240" w:lineRule="auto"/>
    </w:pPr>
    <w:rPr>
      <w:sz w:val="20"/>
      <w:szCs w:val="20"/>
    </w:rPr>
  </w:style>
  <w:style w:type="character" w:customStyle="1" w:styleId="TextocomentarioCar">
    <w:name w:val="Texto comentario Car"/>
    <w:basedOn w:val="Fuentedeprrafopredeter"/>
    <w:link w:val="Textocomentario"/>
    <w:uiPriority w:val="99"/>
    <w:rsid w:val="00BB6D0A"/>
    <w:rPr>
      <w:sz w:val="20"/>
      <w:szCs w:val="20"/>
    </w:rPr>
  </w:style>
  <w:style w:type="paragraph" w:styleId="Asuntodelcomentario">
    <w:name w:val="annotation subject"/>
    <w:basedOn w:val="Textocomentario"/>
    <w:next w:val="Textocomentario"/>
    <w:link w:val="AsuntodelcomentarioCar"/>
    <w:uiPriority w:val="99"/>
    <w:semiHidden/>
    <w:unhideWhenUsed/>
    <w:rsid w:val="00BB6D0A"/>
    <w:rPr>
      <w:b/>
      <w:bCs/>
    </w:rPr>
  </w:style>
  <w:style w:type="character" w:customStyle="1" w:styleId="AsuntodelcomentarioCar">
    <w:name w:val="Asunto del comentario Car"/>
    <w:basedOn w:val="TextocomentarioCar"/>
    <w:link w:val="Asuntodelcomentario"/>
    <w:uiPriority w:val="99"/>
    <w:semiHidden/>
    <w:rsid w:val="00BB6D0A"/>
    <w:rPr>
      <w:b/>
      <w:bCs/>
      <w:sz w:val="20"/>
      <w:szCs w:val="20"/>
    </w:rPr>
  </w:style>
  <w:style w:type="paragraph" w:styleId="Encabezado">
    <w:name w:val="header"/>
    <w:basedOn w:val="Normal"/>
    <w:link w:val="EncabezadoCar"/>
    <w:uiPriority w:val="99"/>
    <w:unhideWhenUsed/>
    <w:rsid w:val="00A857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5732"/>
  </w:style>
  <w:style w:type="paragraph" w:styleId="Piedepgina">
    <w:name w:val="footer"/>
    <w:basedOn w:val="Normal"/>
    <w:link w:val="PiedepginaCar"/>
    <w:uiPriority w:val="99"/>
    <w:unhideWhenUsed/>
    <w:rsid w:val="00A857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5732"/>
  </w:style>
  <w:style w:type="paragraph" w:customStyle="1" w:styleId="pf0">
    <w:name w:val="pf0"/>
    <w:basedOn w:val="Normal"/>
    <w:rsid w:val="00FE5622"/>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cf01">
    <w:name w:val="cf01"/>
    <w:basedOn w:val="Fuentedeprrafopredeter"/>
    <w:rsid w:val="00FE562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663773">
      <w:bodyDiv w:val="1"/>
      <w:marLeft w:val="0"/>
      <w:marRight w:val="0"/>
      <w:marTop w:val="0"/>
      <w:marBottom w:val="0"/>
      <w:divBdr>
        <w:top w:val="none" w:sz="0" w:space="0" w:color="auto"/>
        <w:left w:val="none" w:sz="0" w:space="0" w:color="auto"/>
        <w:bottom w:val="none" w:sz="0" w:space="0" w:color="auto"/>
        <w:right w:val="none" w:sz="0" w:space="0" w:color="auto"/>
      </w:divBdr>
      <w:divsChild>
        <w:div w:id="1225339898">
          <w:marLeft w:val="0"/>
          <w:marRight w:val="0"/>
          <w:marTop w:val="0"/>
          <w:marBottom w:val="0"/>
          <w:divBdr>
            <w:top w:val="none" w:sz="0" w:space="0" w:color="auto"/>
            <w:left w:val="none" w:sz="0" w:space="0" w:color="auto"/>
            <w:bottom w:val="none" w:sz="0" w:space="0" w:color="auto"/>
            <w:right w:val="none" w:sz="0" w:space="0" w:color="auto"/>
          </w:divBdr>
        </w:div>
        <w:div w:id="648362228">
          <w:marLeft w:val="0"/>
          <w:marRight w:val="0"/>
          <w:marTop w:val="0"/>
          <w:marBottom w:val="0"/>
          <w:divBdr>
            <w:top w:val="none" w:sz="0" w:space="0" w:color="auto"/>
            <w:left w:val="none" w:sz="0" w:space="0" w:color="auto"/>
            <w:bottom w:val="none" w:sz="0" w:space="0" w:color="auto"/>
            <w:right w:val="none" w:sz="0" w:space="0" w:color="auto"/>
          </w:divBdr>
        </w:div>
        <w:div w:id="71783929">
          <w:marLeft w:val="0"/>
          <w:marRight w:val="0"/>
          <w:marTop w:val="0"/>
          <w:marBottom w:val="0"/>
          <w:divBdr>
            <w:top w:val="none" w:sz="0" w:space="0" w:color="auto"/>
            <w:left w:val="none" w:sz="0" w:space="0" w:color="auto"/>
            <w:bottom w:val="none" w:sz="0" w:space="0" w:color="auto"/>
            <w:right w:val="none" w:sz="0" w:space="0" w:color="auto"/>
          </w:divBdr>
        </w:div>
        <w:div w:id="1369183274">
          <w:marLeft w:val="0"/>
          <w:marRight w:val="0"/>
          <w:marTop w:val="0"/>
          <w:marBottom w:val="0"/>
          <w:divBdr>
            <w:top w:val="none" w:sz="0" w:space="0" w:color="auto"/>
            <w:left w:val="none" w:sz="0" w:space="0" w:color="auto"/>
            <w:bottom w:val="none" w:sz="0" w:space="0" w:color="auto"/>
            <w:right w:val="none" w:sz="0" w:space="0" w:color="auto"/>
          </w:divBdr>
        </w:div>
      </w:divsChild>
    </w:div>
    <w:div w:id="1034311865">
      <w:bodyDiv w:val="1"/>
      <w:marLeft w:val="0"/>
      <w:marRight w:val="0"/>
      <w:marTop w:val="0"/>
      <w:marBottom w:val="0"/>
      <w:divBdr>
        <w:top w:val="none" w:sz="0" w:space="0" w:color="auto"/>
        <w:left w:val="none" w:sz="0" w:space="0" w:color="auto"/>
        <w:bottom w:val="none" w:sz="0" w:space="0" w:color="auto"/>
        <w:right w:val="none" w:sz="0" w:space="0" w:color="auto"/>
      </w:divBdr>
      <w:divsChild>
        <w:div w:id="2005089590">
          <w:marLeft w:val="0"/>
          <w:marRight w:val="0"/>
          <w:marTop w:val="0"/>
          <w:marBottom w:val="0"/>
          <w:divBdr>
            <w:top w:val="none" w:sz="0" w:space="0" w:color="auto"/>
            <w:left w:val="none" w:sz="0" w:space="0" w:color="auto"/>
            <w:bottom w:val="none" w:sz="0" w:space="0" w:color="auto"/>
            <w:right w:val="none" w:sz="0" w:space="0" w:color="auto"/>
          </w:divBdr>
        </w:div>
        <w:div w:id="1560171472">
          <w:marLeft w:val="0"/>
          <w:marRight w:val="0"/>
          <w:marTop w:val="0"/>
          <w:marBottom w:val="0"/>
          <w:divBdr>
            <w:top w:val="none" w:sz="0" w:space="0" w:color="auto"/>
            <w:left w:val="none" w:sz="0" w:space="0" w:color="auto"/>
            <w:bottom w:val="none" w:sz="0" w:space="0" w:color="auto"/>
            <w:right w:val="none" w:sz="0" w:space="0" w:color="auto"/>
          </w:divBdr>
        </w:div>
        <w:div w:id="2018533087">
          <w:marLeft w:val="0"/>
          <w:marRight w:val="0"/>
          <w:marTop w:val="0"/>
          <w:marBottom w:val="0"/>
          <w:divBdr>
            <w:top w:val="none" w:sz="0" w:space="0" w:color="auto"/>
            <w:left w:val="none" w:sz="0" w:space="0" w:color="auto"/>
            <w:bottom w:val="none" w:sz="0" w:space="0" w:color="auto"/>
            <w:right w:val="none" w:sz="0" w:space="0" w:color="auto"/>
          </w:divBdr>
        </w:div>
        <w:div w:id="905262275">
          <w:marLeft w:val="0"/>
          <w:marRight w:val="0"/>
          <w:marTop w:val="0"/>
          <w:marBottom w:val="0"/>
          <w:divBdr>
            <w:top w:val="none" w:sz="0" w:space="0" w:color="auto"/>
            <w:left w:val="none" w:sz="0" w:space="0" w:color="auto"/>
            <w:bottom w:val="none" w:sz="0" w:space="0" w:color="auto"/>
            <w:right w:val="none" w:sz="0" w:space="0" w:color="auto"/>
          </w:divBdr>
        </w:div>
      </w:divsChild>
    </w:div>
    <w:div w:id="1214347861">
      <w:bodyDiv w:val="1"/>
      <w:marLeft w:val="0"/>
      <w:marRight w:val="0"/>
      <w:marTop w:val="0"/>
      <w:marBottom w:val="0"/>
      <w:divBdr>
        <w:top w:val="none" w:sz="0" w:space="0" w:color="auto"/>
        <w:left w:val="none" w:sz="0" w:space="0" w:color="auto"/>
        <w:bottom w:val="none" w:sz="0" w:space="0" w:color="auto"/>
        <w:right w:val="none" w:sz="0" w:space="0" w:color="auto"/>
      </w:divBdr>
    </w:div>
    <w:div w:id="1340042966">
      <w:bodyDiv w:val="1"/>
      <w:marLeft w:val="0"/>
      <w:marRight w:val="0"/>
      <w:marTop w:val="0"/>
      <w:marBottom w:val="0"/>
      <w:divBdr>
        <w:top w:val="none" w:sz="0" w:space="0" w:color="auto"/>
        <w:left w:val="none" w:sz="0" w:space="0" w:color="auto"/>
        <w:bottom w:val="none" w:sz="0" w:space="0" w:color="auto"/>
        <w:right w:val="none" w:sz="0" w:space="0" w:color="auto"/>
      </w:divBdr>
    </w:div>
    <w:div w:id="157138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www.corteidh.or.cr/tablas/32092.pdf" TargetMode="External"/><Relationship Id="rId2" Type="http://schemas.openxmlformats.org/officeDocument/2006/relationships/hyperlink" Target="https://eacnur.org/es/actualidad/noticias/historias-de-vida/derecho-la-igualdad" TargetMode="External"/><Relationship Id="rId1" Type="http://schemas.openxmlformats.org/officeDocument/2006/relationships/hyperlink" Target="https://dpej.rae.es/lema/dignidad-de-la-persona" TargetMode="External"/><Relationship Id="rId4" Type="http://schemas.openxmlformats.org/officeDocument/2006/relationships/hyperlink" Target="https://tbinternet.ohchr.org/_layouts/15/treatybodyexternal/Download.aspx?symbolno=CRPD/C/GC/1&amp;Lang=e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9B26A-88B1-44FC-929E-F9930DA08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3720</Words>
  <Characters>20465</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soledad Cisternas</dc:creator>
  <cp:keywords/>
  <dc:description/>
  <cp:lastModifiedBy>Alumno</cp:lastModifiedBy>
  <cp:revision>2</cp:revision>
  <cp:lastPrinted>2022-05-23T23:03:00Z</cp:lastPrinted>
  <dcterms:created xsi:type="dcterms:W3CDTF">2023-03-27T03:49:00Z</dcterms:created>
  <dcterms:modified xsi:type="dcterms:W3CDTF">2023-03-27T03:49:00Z</dcterms:modified>
</cp:coreProperties>
</file>